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line="276" w:lineRule="auto"/>
        <w:ind w:firstLine="709"/>
        <w:jc w:val="right"/>
        <w:rPr>
          <w:bCs/>
          <w:szCs w:val="28"/>
        </w:rPr>
      </w:pPr>
      <w:bookmarkStart w:id="0" w:name="_GoBack"/>
      <w:bookmarkEnd w:id="0"/>
      <w:r>
        <w:rPr>
          <w:bCs/>
          <w:szCs w:val="28"/>
        </w:rPr>
        <w:t xml:space="preserve">   Проект</w:t>
      </w:r>
    </w:p>
    <w:p>
      <w:pPr>
        <w:spacing w:line="276" w:lineRule="auto"/>
        <w:ind w:firstLine="709"/>
        <w:jc w:val="right"/>
        <w:rPr>
          <w:bCs/>
          <w:szCs w:val="28"/>
        </w:rPr>
      </w:pPr>
    </w:p>
    <w:p>
      <w:pPr>
        <w:spacing w:line="276" w:lineRule="auto"/>
        <w:ind w:firstLine="709"/>
        <w:jc w:val="right"/>
        <w:rPr>
          <w:bCs/>
          <w:szCs w:val="28"/>
        </w:rPr>
      </w:pPr>
    </w:p>
    <w:p>
      <w:pPr>
        <w:spacing w:line="276" w:lineRule="auto"/>
        <w:ind w:firstLine="709"/>
        <w:jc w:val="right"/>
        <w:rPr>
          <w:bCs/>
          <w:szCs w:val="28"/>
        </w:rPr>
      </w:pPr>
    </w:p>
    <w:p>
      <w:pPr>
        <w:spacing w:line="276" w:lineRule="auto"/>
        <w:ind w:firstLine="709"/>
        <w:jc w:val="right"/>
        <w:rPr>
          <w:bCs/>
          <w:szCs w:val="28"/>
        </w:rPr>
      </w:pPr>
    </w:p>
    <w:p>
      <w:pPr>
        <w:spacing w:line="276" w:lineRule="auto"/>
        <w:jc w:val="center"/>
        <w:rPr>
          <w:bCs/>
          <w:szCs w:val="28"/>
        </w:rPr>
      </w:pPr>
    </w:p>
    <w:p>
      <w:pPr>
        <w:spacing w:line="276" w:lineRule="auto"/>
        <w:jc w:val="center"/>
        <w:rPr>
          <w:bCs/>
          <w:szCs w:val="28"/>
        </w:rPr>
      </w:pPr>
    </w:p>
    <w:p>
      <w:pPr>
        <w:spacing w:line="276" w:lineRule="auto"/>
        <w:jc w:val="center"/>
        <w:rPr>
          <w:bCs/>
          <w:szCs w:val="28"/>
        </w:rPr>
      </w:pPr>
    </w:p>
    <w:p>
      <w:pPr>
        <w:spacing w:line="276" w:lineRule="auto"/>
        <w:jc w:val="center"/>
        <w:rPr>
          <w:bCs/>
          <w:szCs w:val="28"/>
        </w:rPr>
      </w:pPr>
    </w:p>
    <w:p>
      <w:pPr>
        <w:spacing w:line="276" w:lineRule="auto"/>
        <w:jc w:val="center"/>
        <w:rPr>
          <w:bCs/>
          <w:szCs w:val="28"/>
        </w:rPr>
      </w:pPr>
    </w:p>
    <w:p>
      <w:pPr>
        <w:spacing w:line="276" w:lineRule="auto"/>
        <w:jc w:val="center"/>
        <w:rPr>
          <w:bCs/>
          <w:szCs w:val="28"/>
        </w:rPr>
      </w:pPr>
    </w:p>
    <w:p>
      <w:pPr>
        <w:spacing w:line="276" w:lineRule="auto"/>
        <w:jc w:val="center"/>
        <w:rPr>
          <w:bCs/>
          <w:szCs w:val="28"/>
        </w:rPr>
      </w:pPr>
    </w:p>
    <w:p>
      <w:pPr>
        <w:spacing w:line="276" w:lineRule="auto"/>
        <w:jc w:val="center"/>
        <w:rPr>
          <w:bCs/>
          <w:szCs w:val="28"/>
        </w:rPr>
      </w:pPr>
    </w:p>
    <w:p>
      <w:pPr>
        <w:spacing w:line="276" w:lineRule="auto"/>
        <w:rPr>
          <w:bCs/>
          <w:szCs w:val="28"/>
        </w:rPr>
      </w:pPr>
    </w:p>
    <w:p>
      <w:pPr>
        <w:spacing w:line="276" w:lineRule="auto"/>
        <w:rPr>
          <w:bCs/>
          <w:szCs w:val="28"/>
        </w:rPr>
      </w:pPr>
    </w:p>
    <w:p>
      <w:pPr>
        <w:spacing w:line="360" w:lineRule="exact"/>
        <w:jc w:val="center"/>
      </w:pPr>
      <w:r>
        <w:rPr>
          <w:b/>
        </w:rPr>
        <w:t xml:space="preserve">О внесении изменений </w:t>
      </w:r>
      <w:r>
        <w:rPr>
          <w:b/>
        </w:rPr>
        <w:t xml:space="preserve">постановление Правительства </w:t>
      </w:r>
      <w:r>
        <w:rPr>
          <w:b/>
        </w:rPr>
        <w:br/>
        <w:t xml:space="preserve">Российской Федерации от 28 января 2006 г. № 47</w:t>
      </w:r>
    </w:p>
    <w:p>
      <w:pPr>
        <w:pStyle w:val="aff2"/>
        <w:spacing w:before="480" w:line="228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Правительство Российской Федерации </w:t>
      </w:r>
      <w:r>
        <w:rPr>
          <w:rFonts w:ascii="Times New Roman" w:hAnsi="Times New Roman"/>
          <w:b/>
          <w:sz w:val="28"/>
          <w:szCs w:val="28"/>
        </w:rPr>
        <w:t xml:space="preserve">п о с </w:t>
      </w:r>
      <w:r>
        <w:rPr>
          <w:rFonts w:ascii="Times New Roman" w:hAnsi="Times New Roman"/>
          <w:b/>
          <w:sz w:val="28"/>
          <w:szCs w:val="28"/>
        </w:rPr>
        <w:t xml:space="preserve">т</w:t>
      </w:r>
      <w:r>
        <w:rPr>
          <w:rFonts w:ascii="Times New Roman" w:hAnsi="Times New Roman"/>
          <w:b/>
          <w:sz w:val="28"/>
          <w:szCs w:val="28"/>
        </w:rPr>
        <w:t xml:space="preserve"> а н о в л я е т</w:t>
      </w:r>
      <w:r>
        <w:rPr>
          <w:rFonts w:ascii="Times New Roman" w:hAnsi="Times New Roman"/>
          <w:sz w:val="28"/>
          <w:szCs w:val="28"/>
        </w:rPr>
        <w:t xml:space="preserve">:</w:t>
      </w:r>
    </w:p>
    <w:p>
      <w:pPr>
        <w:spacing w:line="228" w:lineRule="auto"/>
        <w:ind w:firstLine="709"/>
      </w:pPr>
      <w:r>
        <w:t xml:space="preserve">Утвердить прилагаемые изменения, которые вносятся </w:t>
      </w:r>
      <w:r>
        <w:br/>
        <w:t xml:space="preserve">в </w:t>
      </w:r>
      <w:r>
        <w:t xml:space="preserve">Положение</w:t>
      </w:r>
      <w:r>
        <w:t xml:space="preserve">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</w:t>
      </w:r>
      <w:r>
        <w:t xml:space="preserve">, утвержденным </w:t>
      </w:r>
      <w:r>
        <w:t xml:space="preserve">постановление</w:t>
      </w:r>
      <w:r>
        <w:t xml:space="preserve">м</w:t>
      </w:r>
      <w:r>
        <w:t xml:space="preserve"> Правитель</w:t>
      </w:r>
      <w:r>
        <w:t xml:space="preserve">ства Российской Федерации от 28 января 2006 г. № 47</w:t>
      </w:r>
      <w:r>
        <w:t xml:space="preserve"> </w:t>
      </w:r>
      <w:r>
        <w:br/>
      </w:r>
      <w:r>
        <w:rPr>
          <w:szCs w:val="28"/>
        </w:rPr>
        <w:t xml:space="preserve">«Об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</w:t>
      </w:r>
      <w:r>
        <w:rPr>
          <w:bCs/>
          <w:color w:val="151616"/>
          <w:szCs w:val="24"/>
        </w:rPr>
        <w:t xml:space="preserve"> </w:t>
      </w:r>
      <w:r>
        <w:rPr>
          <w:szCs w:val="28"/>
        </w:rPr>
        <w:t xml:space="preserve">(Собрание законодательства Российской Федерации, 2006, № 6</w:t>
      </w:r>
      <w:r>
        <w:rPr>
          <w:szCs w:val="28"/>
        </w:rPr>
        <w:t xml:space="preserve">, ст. </w:t>
      </w:r>
      <w:r>
        <w:rPr>
          <w:szCs w:val="28"/>
        </w:rPr>
        <w:t xml:space="preserve">702; 2018, № 53, ст.</w:t>
      </w:r>
      <w:r>
        <w:rPr>
          <w:szCs w:val="28"/>
        </w:rPr>
        <w:t xml:space="preserve"> </w:t>
      </w:r>
      <w:r>
        <w:rPr>
          <w:szCs w:val="28"/>
        </w:rPr>
        <w:t xml:space="preserve">8689; 2022, №</w:t>
      </w:r>
      <w:r>
        <w:rPr>
          <w:szCs w:val="28"/>
        </w:rPr>
        <w:t xml:space="preserve"> </w:t>
      </w:r>
      <w:r>
        <w:rPr>
          <w:szCs w:val="28"/>
        </w:rPr>
        <w:t xml:space="preserve">9, </w:t>
      </w:r>
      <w:r>
        <w:rPr>
          <w:szCs w:val="28"/>
        </w:rPr>
        <w:br/>
      </w:r>
      <w:r>
        <w:rPr>
          <w:szCs w:val="28"/>
        </w:rPr>
        <w:t xml:space="preserve">ст.</w:t>
      </w:r>
      <w:r>
        <w:rPr>
          <w:szCs w:val="28"/>
        </w:rPr>
        <w:t xml:space="preserve"> </w:t>
      </w:r>
      <w:r>
        <w:rPr>
          <w:szCs w:val="28"/>
        </w:rPr>
        <w:t xml:space="preserve">1310</w:t>
      </w:r>
      <w:r>
        <w:rPr>
          <w:color w:val="000000"/>
          <w:szCs w:val="28"/>
        </w:rPr>
        <w:t xml:space="preserve">).</w:t>
      </w:r>
    </w:p>
    <w:p>
      <w:pPr>
        <w:spacing w:line="360" w:lineRule="exact"/>
        <w:ind w:firstLine="709"/>
        <w:rPr>
          <w:color w:val="000000"/>
          <w:szCs w:val="28"/>
        </w:rPr>
      </w:pPr>
    </w:p>
    <w:p>
      <w:pPr>
        <w:spacing w:line="360" w:lineRule="exact"/>
        <w:ind w:firstLine="709"/>
        <w:rPr>
          <w:color w:val="000000"/>
          <w:szCs w:val="28"/>
        </w:rPr>
      </w:pPr>
    </w:p>
    <w:p>
      <w:pPr>
        <w:tabs>
          <w:tab w:val="center" w:pos="1758"/>
        </w:tabs>
        <w:spacing w:line="240" w:lineRule="atLeast"/>
      </w:pPr>
      <w:r>
        <w:t xml:space="preserve">Председатель Правительства</w:t>
      </w:r>
    </w:p>
    <w:p>
      <w:pPr>
        <w:tabs>
          <w:tab w:val="center" w:pos="1758"/>
          <w:tab w:val="right" w:pos="9356"/>
        </w:tabs>
        <w:spacing w:line="240" w:lineRule="atLeast"/>
        <w:sectPr>
          <w:headerReference w:type="default" r:id="rId9"/>
          <w:pgSz w:w="11907" w:h="16840"/>
          <w:pgMar w:top="1134" w:right="850" w:bottom="993" w:left="1701" w:header="567" w:footer="567" w:gutter="0"/>
          <w:cols w:space="720"/>
          <w:docGrid w:linePitch="360"/>
          <w:titlePg/>
        </w:sectPr>
      </w:pPr>
      <w:r>
        <w:t xml:space="preserve">    Российской Федерации</w:t>
      </w:r>
      <w:r>
        <w:tab/>
        <w:t xml:space="preserve">    </w:t>
      </w:r>
      <w:r>
        <w:t xml:space="preserve">М.Мишустин</w:t>
      </w:r>
    </w:p>
    <w:p>
      <w:pPr>
        <w:spacing w:after="120"/>
        <w:ind w:left="5812" w:right="-573"/>
        <w:jc w:val="center"/>
        <w:rPr>
          <w:szCs w:val="28"/>
        </w:rPr>
      </w:pPr>
      <w:r>
        <w:rPr>
          <w:szCs w:val="28"/>
        </w:rPr>
        <w:t xml:space="preserve">УТВЕРЖДЕНЫ</w:t>
      </w:r>
    </w:p>
    <w:p>
      <w:pPr>
        <w:spacing w:line="240" w:lineRule="auto"/>
        <w:ind w:left="5812" w:right="-573"/>
        <w:jc w:val="center"/>
        <w:rPr>
          <w:szCs w:val="28"/>
        </w:rPr>
      </w:pPr>
      <w:r>
        <w:rPr>
          <w:szCs w:val="28"/>
        </w:rPr>
        <w:t xml:space="preserve">постановлением Правительства</w:t>
      </w:r>
    </w:p>
    <w:p>
      <w:pPr>
        <w:spacing w:line="240" w:lineRule="auto"/>
        <w:ind w:left="5812" w:right="-573"/>
        <w:jc w:val="center"/>
        <w:rPr>
          <w:szCs w:val="28"/>
        </w:rPr>
      </w:pPr>
      <w:r>
        <w:rPr>
          <w:szCs w:val="28"/>
        </w:rPr>
        <w:t xml:space="preserve">Российской Федерации</w:t>
      </w:r>
    </w:p>
    <w:p>
      <w:pPr>
        <w:spacing w:after="1400" w:line="240" w:lineRule="auto"/>
        <w:ind w:left="5812" w:right="-573"/>
        <w:jc w:val="center"/>
        <w:rPr>
          <w:szCs w:val="28"/>
        </w:rPr>
      </w:pPr>
      <w:r>
        <w:rPr>
          <w:szCs w:val="28"/>
        </w:rPr>
        <w:t xml:space="preserve">от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</w:t>
      </w:r>
    </w:p>
    <w:p>
      <w:pPr>
        <w:spacing w:after="120" w:line="360" w:lineRule="exact"/>
        <w:ind w:left="1416" w:hanging="990"/>
        <w:jc w:val="center"/>
        <w:rPr>
          <w:b/>
          <w:szCs w:val="28"/>
        </w:rPr>
      </w:pPr>
      <w:r>
        <w:rPr>
          <w:b/>
          <w:szCs w:val="28"/>
        </w:rPr>
        <w:t xml:space="preserve">И З М Е Н Е Н И Я,</w:t>
      </w:r>
    </w:p>
    <w:p>
      <w:pPr>
        <w:spacing w:after="480" w:line="360" w:lineRule="exact"/>
        <w:ind w:hanging="142"/>
        <w:jc w:val="center"/>
        <w:rPr>
          <w:b/>
        </w:rPr>
      </w:pPr>
      <w:r>
        <w:rPr>
          <w:b/>
          <w:szCs w:val="28"/>
        </w:rPr>
        <w:t xml:space="preserve">которые вносятся </w:t>
      </w:r>
      <w:r>
        <w:rPr>
          <w:b/>
        </w:rPr>
        <w:t xml:space="preserve">в </w:t>
      </w:r>
      <w:r>
        <w:rPr>
          <w:b/>
        </w:rPr>
        <w:t xml:space="preserve">Положение о признании помещения жилым помещением, жилого помещения непригодным для проживания, многоквартирного дома аварийным и подлежащим сносу </w:t>
      </w:r>
      <w:r>
        <w:rPr>
          <w:b/>
        </w:rPr>
        <w:br/>
        <w:t xml:space="preserve">или реконструкции, садового дома жилым домом </w:t>
      </w:r>
      <w:r>
        <w:rPr>
          <w:b/>
        </w:rPr>
        <w:br/>
        <w:t xml:space="preserve">и жилого дома садовым домом</w:t>
      </w:r>
    </w:p>
    <w:p>
      <w:pPr>
        <w:spacing w:line="360" w:lineRule="exact"/>
        <w:ind w:firstLine="708"/>
      </w:pPr>
      <w:r>
        <w:t xml:space="preserve">1. </w:t>
      </w:r>
      <w:r>
        <w:t xml:space="preserve">В пункте 56</w:t>
      </w:r>
      <w:r>
        <w:t xml:space="preserve">:</w:t>
      </w:r>
    </w:p>
    <w:p>
      <w:pPr>
        <w:spacing w:line="360" w:lineRule="exact"/>
        <w:ind w:firstLine="708"/>
      </w:pPr>
      <w:r>
        <w:t xml:space="preserve">а</w:t>
      </w:r>
      <w:r>
        <w:t xml:space="preserve">)</w:t>
      </w:r>
      <w:r>
        <w:t xml:space="preserve"> </w:t>
      </w:r>
      <w:r>
        <w:t xml:space="preserve">подпункт «б»</w:t>
      </w:r>
      <w:r>
        <w:t xml:space="preserve"> </w:t>
      </w:r>
      <w:r>
        <w:t xml:space="preserve">признать утратившим силу;</w:t>
      </w:r>
    </w:p>
    <w:p>
      <w:pPr>
        <w:spacing w:line="360" w:lineRule="exact"/>
        <w:ind w:firstLine="708"/>
      </w:pPr>
      <w:r>
        <w:t xml:space="preserve">б</w:t>
      </w:r>
      <w:r>
        <w:t xml:space="preserve">) подпункт «в» изложить в следующей редакции: </w:t>
      </w:r>
    </w:p>
    <w:p>
      <w:pPr>
        <w:shd w:val="clear" w:color="auto" w:fill="ffffff" w:themeFill="background1"/>
        <w:spacing w:line="360" w:lineRule="exact"/>
        <w:ind w:firstLine="708"/>
      </w:pPr>
      <w:r>
        <w:t xml:space="preserve">«в) </w:t>
      </w:r>
      <w:r>
        <w:t xml:space="preserve">документ</w:t>
      </w:r>
      <w:r>
        <w:t xml:space="preserve">ы</w:t>
      </w:r>
      <w:r>
        <w:t xml:space="preserve">, подтверждающи</w:t>
      </w:r>
      <w:r>
        <w:t xml:space="preserve">е</w:t>
      </w:r>
      <w:r>
        <w:t xml:space="preserve"> инженерно-техническо</w:t>
      </w:r>
      <w:r>
        <w:t xml:space="preserve">е</w:t>
      </w:r>
      <w:r>
        <w:t xml:space="preserve"> обеспечени</w:t>
      </w:r>
      <w:r>
        <w:t xml:space="preserve">е садового дома (в случае признания садового дома жилым</w:t>
      </w:r>
      <w:r>
        <w:t xml:space="preserve"> домом</w:t>
      </w:r>
      <w:r>
        <w:t xml:space="preserve">).»</w:t>
      </w:r>
      <w:r>
        <w:t xml:space="preserve">. </w:t>
      </w:r>
    </w:p>
    <w:p>
      <w:pPr>
        <w:spacing w:line="360" w:lineRule="exact"/>
        <w:ind w:firstLine="708"/>
      </w:pPr>
      <w:r>
        <w:t xml:space="preserve">в</w:t>
      </w:r>
      <w:r>
        <w:t xml:space="preserve">) подпункт </w:t>
      </w:r>
      <w:r>
        <w:t xml:space="preserve">«г»</w:t>
      </w:r>
      <w:r>
        <w:t xml:space="preserve"> </w:t>
      </w:r>
      <w:r>
        <w:t xml:space="preserve">признать утратившим</w:t>
      </w:r>
      <w:r>
        <w:t xml:space="preserve">и</w:t>
      </w:r>
      <w:r>
        <w:t xml:space="preserve"> силу</w:t>
      </w:r>
      <w:r>
        <w:t xml:space="preserve">; </w:t>
      </w:r>
    </w:p>
    <w:p>
      <w:pPr>
        <w:spacing w:line="360" w:lineRule="exact"/>
        <w:ind w:firstLine="708"/>
      </w:pPr>
      <w:r>
        <w:t xml:space="preserve">2. Пункт 57 изложить в следующей редакции: </w:t>
      </w:r>
    </w:p>
    <w:p>
      <w:pPr>
        <w:spacing w:line="360" w:lineRule="exact"/>
        <w:ind w:firstLine="708"/>
      </w:pPr>
      <w:r>
        <w:t xml:space="preserve">«57. </w:t>
      </w:r>
      <w:r>
        <w:t xml:space="preserve">Уполномоченный орган местного самоуправления запрашивает </w:t>
      </w:r>
      <w:r>
        <w:br/>
        <w:t xml:space="preserve">с использованием единой системы межведомственного взаимодействия </w:t>
      </w:r>
      <w:r>
        <w:br/>
        <w:t xml:space="preserve">в Федеральной службе государственной регистрации кадастра, картографии выписку из Единого государственного реестра недвижимости</w:t>
      </w:r>
      <w:r>
        <w:t xml:space="preserve"> </w:t>
      </w:r>
      <w:r>
        <w:t xml:space="preserve">об объекте недвижимости</w:t>
      </w:r>
      <w:r>
        <w:t xml:space="preserve">, </w:t>
      </w:r>
      <w:r>
        <w:t xml:space="preserve">выписку из Единого государственного реестра недвижимости об основных характеристиках и зарегистрированных правах на объект недвижимости</w:t>
      </w:r>
      <w:r>
        <w:t xml:space="preserve">.»</w:t>
      </w:r>
      <w:r>
        <w:t xml:space="preserve">.</w:t>
      </w:r>
    </w:p>
    <w:p>
      <w:pPr>
        <w:spacing w:line="360" w:lineRule="exact"/>
        <w:ind w:firstLine="708"/>
      </w:pPr>
      <w:r>
        <w:t xml:space="preserve">3</w:t>
      </w:r>
      <w:r>
        <w:t xml:space="preserve">. В пункте 59 слова «45 календарных дней» заменить словами </w:t>
      </w:r>
      <w:r>
        <w:br/>
      </w:r>
      <w:r>
        <w:t xml:space="preserve">«</w:t>
      </w:r>
      <w:r>
        <w:t xml:space="preserve">7</w:t>
      </w:r>
      <w:r>
        <w:t xml:space="preserve"> </w:t>
      </w:r>
      <w:r>
        <w:t xml:space="preserve">рабочих</w:t>
      </w:r>
      <w:r>
        <w:t xml:space="preserve"> дней». </w:t>
      </w:r>
    </w:p>
    <w:p>
      <w:pPr>
        <w:spacing w:line="360" w:lineRule="exact"/>
        <w:ind w:firstLine="708"/>
      </w:pPr>
      <w:r>
        <w:t xml:space="preserve">4</w:t>
      </w:r>
      <w:r>
        <w:t xml:space="preserve">. В пункте 61</w:t>
      </w:r>
      <w:r>
        <w:t xml:space="preserve">:</w:t>
      </w:r>
    </w:p>
    <w:p>
      <w:pPr>
        <w:spacing w:line="360" w:lineRule="exact"/>
        <w:ind w:firstLine="708"/>
      </w:pPr>
      <w:r>
        <w:t xml:space="preserve">а) </w:t>
      </w:r>
      <w:r>
        <w:t xml:space="preserve">в подпункте «а» слова «подпунктами «а» и (или) «в» пункта 56</w:t>
      </w:r>
      <w:r>
        <w:t xml:space="preserve">»</w:t>
      </w:r>
      <w:r>
        <w:t xml:space="preserve"> заменить словами «пунктом 56»;</w:t>
      </w:r>
    </w:p>
    <w:p>
      <w:pPr>
        <w:spacing w:line="360" w:lineRule="exact"/>
        <w:ind w:firstLine="708"/>
      </w:pPr>
      <w:r>
        <w:t xml:space="preserve">б) </w:t>
      </w:r>
      <w:r>
        <w:t xml:space="preserve">подпункт «в» </w:t>
      </w:r>
      <w:r>
        <w:t xml:space="preserve">изложить в следующей редакции: </w:t>
      </w:r>
    </w:p>
    <w:p>
      <w:pPr>
        <w:spacing w:line="360" w:lineRule="exact"/>
        <w:ind w:firstLine="708"/>
      </w:pPr>
      <w:r>
        <w:t xml:space="preserve">«в) 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дом.»</w:t>
      </w:r>
      <w:r>
        <w:t xml:space="preserve">;</w:t>
      </w:r>
    </w:p>
    <w:p>
      <w:pPr>
        <w:spacing w:line="360" w:lineRule="exact"/>
        <w:ind w:firstLine="708"/>
      </w:pPr>
      <w:r>
        <w:t xml:space="preserve">в</w:t>
      </w:r>
      <w:r>
        <w:t xml:space="preserve">) подпункт </w:t>
      </w:r>
      <w:r>
        <w:t xml:space="preserve">«г» признать утратившим силу</w:t>
      </w:r>
      <w:r>
        <w:t xml:space="preserve">; </w:t>
      </w:r>
    </w:p>
    <w:p>
      <w:pPr>
        <w:spacing w:line="360" w:lineRule="exact"/>
        <w:ind w:firstLine="708"/>
      </w:pPr>
      <w:r>
        <w:t xml:space="preserve">г</w:t>
      </w:r>
      <w:r>
        <w:t xml:space="preserve">) </w:t>
      </w:r>
      <w:r>
        <w:t xml:space="preserve">дополнить подпунктами «з»</w:t>
      </w:r>
      <w:r>
        <w:t xml:space="preserve"> </w:t>
      </w:r>
      <w:r>
        <w:t xml:space="preserve">и «и» следующего содержания</w:t>
      </w:r>
      <w:r>
        <w:t xml:space="preserve">:</w:t>
      </w:r>
    </w:p>
    <w:p>
      <w:pPr>
        <w:shd w:val="clear" w:color="auto" w:fill="ffffff" w:themeFill="background1"/>
        <w:spacing w:line="360" w:lineRule="exact"/>
        <w:ind w:firstLine="708"/>
      </w:pPr>
      <w:r>
        <w:t xml:space="preserve">«з) размещение садового дома или жилого дома не допускается </w:t>
      </w:r>
      <w:r>
        <w:br/>
        <w:t xml:space="preserve">в соответствии с ограничениями, установленными в соответствии с земельным и иным законодательством Российской Федерации на дату поступления заявления;</w:t>
      </w:r>
    </w:p>
    <w:p>
      <w:pPr>
        <w:shd w:val="clear" w:color="auto" w:fill="ffffff" w:themeFill="background1"/>
        <w:spacing w:line="360" w:lineRule="exact"/>
        <w:ind w:firstLine="708"/>
      </w:pPr>
      <w:r>
        <w:t xml:space="preserve">и)</w:t>
      </w:r>
      <w:r>
        <w:t xml:space="preserve"> </w:t>
      </w:r>
      <w:r>
        <w:t xml:space="preserve">садовый </w:t>
      </w:r>
      <w:r>
        <w:t xml:space="preserve">дом не </w:t>
      </w:r>
      <w:r>
        <w:t xml:space="preserve">соответству</w:t>
      </w:r>
      <w:r>
        <w:t xml:space="preserve">ет</w:t>
      </w:r>
      <w:r>
        <w:t xml:space="preserve"> параметрам объекта индивидуального жилищного строительства, указанным в пункте 39 статьи 1 </w:t>
      </w:r>
      <w:r>
        <w:t xml:space="preserve">Г</w:t>
      </w:r>
      <w:r>
        <w:t xml:space="preserve">радостроительного кодекса Российской Федерации</w:t>
      </w:r>
      <w:r>
        <w:t xml:space="preserve"> (в случае признания садового дома жилым</w:t>
      </w:r>
      <w:r>
        <w:t xml:space="preserve"> домом</w:t>
      </w:r>
      <w:r>
        <w:t xml:space="preserve">)</w:t>
      </w:r>
      <w:r>
        <w:t xml:space="preserve">.»</w:t>
      </w:r>
      <w:r>
        <w:t xml:space="preserve">.</w:t>
      </w:r>
    </w:p>
    <w:p>
      <w:pPr>
        <w:spacing w:line="360" w:lineRule="exact"/>
        <w:ind w:firstLine="708"/>
      </w:pPr>
    </w:p>
    <w:p>
      <w:pPr>
        <w:pStyle w:val="ConsPlusNormal"/>
        <w:ind w:left="539"/>
        <w:jc w:val="both"/>
        <w:rPr>
          <w:rFonts w:eastAsia="Times New Roman"/>
          <w:sz w:val="28"/>
          <w:szCs w:val="28"/>
        </w:rPr>
      </w:pPr>
    </w:p>
    <w:p>
      <w:pPr>
        <w:pStyle w:val="ConsPlusNormal"/>
        <w:spacing w:line="360" w:lineRule="exact"/>
        <w:ind w:firstLine="539"/>
        <w:jc w:val="center"/>
        <w:rPr>
          <w:rFonts w:eastAsia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_________</w:t>
      </w:r>
    </w:p>
    <w:sectPr>
      <w:pgSz w:w="11907" w:h="16840"/>
      <w:pgMar w:top="1418" w:right="850" w:bottom="1134" w:left="1701" w:header="709" w:footer="709" w:gutter="0"/>
      <w:pgNumType w:start="1"/>
      <w:cols w:space="720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="240" w:lineRule="auto"/>
      </w:pPr>
      <w:r>
        <w:separator/>
      </w:r>
    </w:p>
  </w:endnote>
  <w:endnote w:type="continuationSeparator" w:id="0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NewRomanPSMT">
    <w:panose1 w:val="020206030504050203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="240" w:lineRule="auto"/>
      </w:pPr>
      <w:r>
        <w:separator/>
      </w:r>
    </w:p>
  </w:footnote>
  <w:footnote w:type="continuationSeparator" w:id="0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f1"/>
      <w:tabs>
        <w:tab w:val="clear" w:pos="4153"/>
        <w:tab w:val="clear" w:pos="8306"/>
      </w:tabs>
      <w:jc w:val="center"/>
      <w:rPr>
        <w:sz w:val="24"/>
      </w:rPr>
    </w:pPr>
    <w:r>
      <w:rPr>
        <w:rStyle w:val="af5"/>
        <w:sz w:val="24"/>
      </w:rPr>
      <w:fldChar w:fldCharType="begin"/>
    </w:r>
    <w:r>
      <w:rPr>
        <w:rStyle w:val="af5"/>
        <w:sz w:val="24"/>
      </w:rPr>
      <w:instrText xml:space="preserve"> PAGE </w:instrText>
    </w:r>
    <w:r>
      <w:rPr>
        <w:rStyle w:val="af5"/>
        <w:sz w:val="24"/>
      </w:rPr>
      <w:fldChar w:fldCharType="separate"/>
    </w:r>
    <w:r>
      <w:rPr>
        <w:rStyle w:val="af5"/>
        <w:sz w:val="24"/>
      </w:rPr>
      <w:t xml:space="preserve">2</w:t>
    </w:r>
    <w:r>
      <w:rPr>
        <w:rStyle w:val="af5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 w:tplc="E3D05F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CDC4A88">
      <w:start w:val="1"/>
      <w:numFmt w:val="lowerLetter"/>
      <w:lvlText w:val="%2."/>
      <w:lvlJc w:val="left"/>
      <w:pPr>
        <w:ind w:left="1789" w:hanging="360"/>
      </w:pPr>
    </w:lvl>
    <w:lvl w:ilvl="2" w:tplc="AD9A7054">
      <w:start w:val="1"/>
      <w:numFmt w:val="lowerRoman"/>
      <w:lvlText w:val="%3."/>
      <w:lvlJc w:val="right"/>
      <w:pPr>
        <w:ind w:left="2509" w:hanging="180"/>
      </w:pPr>
    </w:lvl>
    <w:lvl w:ilvl="3" w:tplc="B15CACDA">
      <w:start w:val="1"/>
      <w:numFmt w:val="decimal"/>
      <w:lvlText w:val="%4."/>
      <w:lvlJc w:val="left"/>
      <w:pPr>
        <w:ind w:left="3229" w:hanging="360"/>
      </w:pPr>
    </w:lvl>
    <w:lvl w:ilvl="4" w:tplc="96F23E7E">
      <w:start w:val="1"/>
      <w:numFmt w:val="lowerLetter"/>
      <w:lvlText w:val="%5."/>
      <w:lvlJc w:val="left"/>
      <w:pPr>
        <w:ind w:left="3949" w:hanging="360"/>
      </w:pPr>
    </w:lvl>
    <w:lvl w:ilvl="5" w:tplc="F6B4F020">
      <w:start w:val="1"/>
      <w:numFmt w:val="lowerRoman"/>
      <w:lvlText w:val="%6."/>
      <w:lvlJc w:val="right"/>
      <w:pPr>
        <w:ind w:left="4669" w:hanging="180"/>
      </w:pPr>
    </w:lvl>
    <w:lvl w:ilvl="6" w:tplc="BDE6C19E">
      <w:start w:val="1"/>
      <w:numFmt w:val="decimal"/>
      <w:lvlText w:val="%7."/>
      <w:lvlJc w:val="left"/>
      <w:pPr>
        <w:ind w:left="5389" w:hanging="360"/>
      </w:pPr>
    </w:lvl>
    <w:lvl w:ilvl="7" w:tplc="457865F0">
      <w:start w:val="1"/>
      <w:numFmt w:val="lowerLetter"/>
      <w:lvlText w:val="%8."/>
      <w:lvlJc w:val="left"/>
      <w:pPr>
        <w:ind w:left="6109" w:hanging="360"/>
      </w:pPr>
    </w:lvl>
    <w:lvl w:ilvl="8" w:tplc="467ED6B8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 w:tplc="423C4E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9EA56CA">
      <w:start w:val="1"/>
      <w:numFmt w:val="lowerLetter"/>
      <w:lvlText w:val="%2."/>
      <w:lvlJc w:val="left"/>
      <w:pPr>
        <w:ind w:left="1789" w:hanging="360"/>
      </w:pPr>
    </w:lvl>
    <w:lvl w:ilvl="2" w:tplc="F174B614">
      <w:start w:val="1"/>
      <w:numFmt w:val="lowerRoman"/>
      <w:lvlText w:val="%3."/>
      <w:lvlJc w:val="right"/>
      <w:pPr>
        <w:ind w:left="2509" w:hanging="180"/>
      </w:pPr>
    </w:lvl>
    <w:lvl w:ilvl="3" w:tplc="92985ADA">
      <w:start w:val="1"/>
      <w:numFmt w:val="decimal"/>
      <w:lvlText w:val="%4."/>
      <w:lvlJc w:val="left"/>
      <w:pPr>
        <w:ind w:left="3229" w:hanging="360"/>
      </w:pPr>
    </w:lvl>
    <w:lvl w:ilvl="4" w:tplc="F376B0E2">
      <w:start w:val="1"/>
      <w:numFmt w:val="lowerLetter"/>
      <w:lvlText w:val="%5."/>
      <w:lvlJc w:val="left"/>
      <w:pPr>
        <w:ind w:left="3949" w:hanging="360"/>
      </w:pPr>
    </w:lvl>
    <w:lvl w:ilvl="5" w:tplc="5852B072">
      <w:start w:val="1"/>
      <w:numFmt w:val="lowerRoman"/>
      <w:lvlText w:val="%6."/>
      <w:lvlJc w:val="right"/>
      <w:pPr>
        <w:ind w:left="4669" w:hanging="180"/>
      </w:pPr>
    </w:lvl>
    <w:lvl w:ilvl="6" w:tplc="8BFCE7B0">
      <w:start w:val="1"/>
      <w:numFmt w:val="decimal"/>
      <w:lvlText w:val="%7."/>
      <w:lvlJc w:val="left"/>
      <w:pPr>
        <w:ind w:left="5389" w:hanging="360"/>
      </w:pPr>
    </w:lvl>
    <w:lvl w:ilvl="7" w:tplc="FCCA5E5E">
      <w:start w:val="1"/>
      <w:numFmt w:val="lowerLetter"/>
      <w:lvlText w:val="%8."/>
      <w:lvlJc w:val="left"/>
      <w:pPr>
        <w:ind w:left="6109" w:hanging="360"/>
      </w:pPr>
    </w:lvl>
    <w:lvl w:ilvl="8" w:tplc="B6BE08D8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 w:tplc="7728B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DD08147A">
      <w:start w:val="1"/>
      <w:numFmt w:val="lowerLetter"/>
      <w:lvlText w:val="%2."/>
      <w:lvlJc w:val="left"/>
      <w:pPr>
        <w:ind w:left="1789" w:hanging="360"/>
      </w:pPr>
    </w:lvl>
    <w:lvl w:ilvl="2" w:tplc="0EC4F43C">
      <w:start w:val="1"/>
      <w:numFmt w:val="lowerRoman"/>
      <w:lvlText w:val="%3."/>
      <w:lvlJc w:val="right"/>
      <w:pPr>
        <w:ind w:left="2509" w:hanging="180"/>
      </w:pPr>
    </w:lvl>
    <w:lvl w:ilvl="3" w:tplc="4E80D98E">
      <w:start w:val="1"/>
      <w:numFmt w:val="decimal"/>
      <w:lvlText w:val="%4."/>
      <w:lvlJc w:val="left"/>
      <w:pPr>
        <w:ind w:left="3229" w:hanging="360"/>
      </w:pPr>
    </w:lvl>
    <w:lvl w:ilvl="4" w:tplc="B8DC5FDA">
      <w:start w:val="1"/>
      <w:numFmt w:val="lowerLetter"/>
      <w:lvlText w:val="%5."/>
      <w:lvlJc w:val="left"/>
      <w:pPr>
        <w:ind w:left="3949" w:hanging="360"/>
      </w:pPr>
    </w:lvl>
    <w:lvl w:ilvl="5" w:tplc="A95CDC94">
      <w:start w:val="1"/>
      <w:numFmt w:val="lowerRoman"/>
      <w:lvlText w:val="%6."/>
      <w:lvlJc w:val="right"/>
      <w:pPr>
        <w:ind w:left="4669" w:hanging="180"/>
      </w:pPr>
    </w:lvl>
    <w:lvl w:ilvl="6" w:tplc="D53CE10A">
      <w:start w:val="1"/>
      <w:numFmt w:val="decimal"/>
      <w:lvlText w:val="%7."/>
      <w:lvlJc w:val="left"/>
      <w:pPr>
        <w:ind w:left="5389" w:hanging="360"/>
      </w:pPr>
    </w:lvl>
    <w:lvl w:ilvl="7" w:tplc="FD80BC22">
      <w:start w:val="1"/>
      <w:numFmt w:val="lowerLetter"/>
      <w:lvlText w:val="%8."/>
      <w:lvlJc w:val="left"/>
      <w:pPr>
        <w:ind w:left="6109" w:hanging="360"/>
      </w:pPr>
    </w:lvl>
    <w:lvl w:ilvl="8" w:tplc="F09C29FC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 w:tplc="869806B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3EC0CBA8">
      <w:start w:val="1"/>
      <w:numFmt w:val="lowerLetter"/>
      <w:lvlText w:val="%2."/>
      <w:lvlJc w:val="left"/>
      <w:pPr>
        <w:ind w:left="1620" w:hanging="360"/>
      </w:pPr>
    </w:lvl>
    <w:lvl w:ilvl="2" w:tplc="94C00754">
      <w:start w:val="1"/>
      <w:numFmt w:val="lowerRoman"/>
      <w:lvlText w:val="%3."/>
      <w:lvlJc w:val="right"/>
      <w:pPr>
        <w:ind w:left="2340" w:hanging="180"/>
      </w:pPr>
    </w:lvl>
    <w:lvl w:ilvl="3" w:tplc="786C3FFA">
      <w:start w:val="1"/>
      <w:numFmt w:val="decimal"/>
      <w:lvlText w:val="%4."/>
      <w:lvlJc w:val="left"/>
      <w:pPr>
        <w:ind w:left="3060" w:hanging="360"/>
      </w:pPr>
    </w:lvl>
    <w:lvl w:ilvl="4" w:tplc="D5AE04BA">
      <w:start w:val="1"/>
      <w:numFmt w:val="lowerLetter"/>
      <w:lvlText w:val="%5."/>
      <w:lvlJc w:val="left"/>
      <w:pPr>
        <w:ind w:left="3780" w:hanging="360"/>
      </w:pPr>
    </w:lvl>
    <w:lvl w:ilvl="5" w:tplc="9676B036">
      <w:start w:val="1"/>
      <w:numFmt w:val="lowerRoman"/>
      <w:lvlText w:val="%6."/>
      <w:lvlJc w:val="right"/>
      <w:pPr>
        <w:ind w:left="4500" w:hanging="180"/>
      </w:pPr>
    </w:lvl>
    <w:lvl w:ilvl="6" w:tplc="845C5902">
      <w:start w:val="1"/>
      <w:numFmt w:val="decimal"/>
      <w:lvlText w:val="%7."/>
      <w:lvlJc w:val="left"/>
      <w:pPr>
        <w:ind w:left="5220" w:hanging="360"/>
      </w:pPr>
    </w:lvl>
    <w:lvl w:ilvl="7" w:tplc="11C4F2A8">
      <w:start w:val="1"/>
      <w:numFmt w:val="lowerLetter"/>
      <w:lvlText w:val="%8."/>
      <w:lvlJc w:val="left"/>
      <w:pPr>
        <w:ind w:left="5940" w:hanging="360"/>
      </w:pPr>
    </w:lvl>
    <w:lvl w:ilvl="8" w:tplc="A6CC6F42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multiLevelType w:val="hybridMultilevel"/>
    <w:lvl w:ilvl="0" w:tplc="7CA09228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B330B312">
      <w:start w:val="1"/>
      <w:numFmt w:val="lowerLetter"/>
      <w:lvlText w:val="%2."/>
      <w:lvlJc w:val="left"/>
      <w:pPr>
        <w:ind w:left="1647" w:hanging="360"/>
      </w:pPr>
    </w:lvl>
    <w:lvl w:ilvl="2" w:tplc="4B78BCBA">
      <w:start w:val="1"/>
      <w:numFmt w:val="lowerRoman"/>
      <w:lvlText w:val="%3."/>
      <w:lvlJc w:val="right"/>
      <w:pPr>
        <w:ind w:left="2367" w:hanging="180"/>
      </w:pPr>
    </w:lvl>
    <w:lvl w:ilvl="3" w:tplc="D8D8665E">
      <w:start w:val="1"/>
      <w:numFmt w:val="decimal"/>
      <w:lvlText w:val="%4."/>
      <w:lvlJc w:val="left"/>
      <w:pPr>
        <w:ind w:left="3087" w:hanging="360"/>
      </w:pPr>
    </w:lvl>
    <w:lvl w:ilvl="4" w:tplc="A7BED90A">
      <w:start w:val="1"/>
      <w:numFmt w:val="lowerLetter"/>
      <w:lvlText w:val="%5."/>
      <w:lvlJc w:val="left"/>
      <w:pPr>
        <w:ind w:left="3807" w:hanging="360"/>
      </w:pPr>
    </w:lvl>
    <w:lvl w:ilvl="5" w:tplc="DFE84C3C">
      <w:start w:val="1"/>
      <w:numFmt w:val="lowerRoman"/>
      <w:lvlText w:val="%6."/>
      <w:lvlJc w:val="right"/>
      <w:pPr>
        <w:ind w:left="4527" w:hanging="180"/>
      </w:pPr>
    </w:lvl>
    <w:lvl w:ilvl="6" w:tplc="32BCBFB8">
      <w:start w:val="1"/>
      <w:numFmt w:val="decimal"/>
      <w:lvlText w:val="%7."/>
      <w:lvlJc w:val="left"/>
      <w:pPr>
        <w:ind w:left="5247" w:hanging="360"/>
      </w:pPr>
    </w:lvl>
    <w:lvl w:ilvl="7" w:tplc="838404A6">
      <w:start w:val="1"/>
      <w:numFmt w:val="lowerLetter"/>
      <w:lvlText w:val="%8."/>
      <w:lvlJc w:val="left"/>
      <w:pPr>
        <w:ind w:left="5967" w:hanging="360"/>
      </w:pPr>
    </w:lvl>
    <w:lvl w:ilvl="8" w:tplc="AAB20FBC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multiLevelType w:val="hybridMultilevel"/>
    <w:lvl w:ilvl="0" w:tplc="DC6CDA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E7C64DC">
      <w:start w:val="1"/>
      <w:numFmt w:val="lowerLetter"/>
      <w:lvlText w:val="%2."/>
      <w:lvlJc w:val="left"/>
      <w:pPr>
        <w:ind w:left="1789" w:hanging="360"/>
      </w:pPr>
    </w:lvl>
    <w:lvl w:ilvl="2" w:tplc="E31A1714">
      <w:start w:val="1"/>
      <w:numFmt w:val="lowerRoman"/>
      <w:lvlText w:val="%3."/>
      <w:lvlJc w:val="right"/>
      <w:pPr>
        <w:ind w:left="2509" w:hanging="180"/>
      </w:pPr>
    </w:lvl>
    <w:lvl w:ilvl="3" w:tplc="B9B02330">
      <w:start w:val="1"/>
      <w:numFmt w:val="decimal"/>
      <w:lvlText w:val="%4."/>
      <w:lvlJc w:val="left"/>
      <w:pPr>
        <w:ind w:left="3229" w:hanging="360"/>
      </w:pPr>
    </w:lvl>
    <w:lvl w:ilvl="4" w:tplc="4BDA4B84">
      <w:start w:val="1"/>
      <w:numFmt w:val="lowerLetter"/>
      <w:lvlText w:val="%5."/>
      <w:lvlJc w:val="left"/>
      <w:pPr>
        <w:ind w:left="3949" w:hanging="360"/>
      </w:pPr>
    </w:lvl>
    <w:lvl w:ilvl="5" w:tplc="594400A0">
      <w:start w:val="1"/>
      <w:numFmt w:val="lowerRoman"/>
      <w:lvlText w:val="%6."/>
      <w:lvlJc w:val="right"/>
      <w:pPr>
        <w:ind w:left="4669" w:hanging="180"/>
      </w:pPr>
    </w:lvl>
    <w:lvl w:ilvl="6" w:tplc="696CD006">
      <w:start w:val="1"/>
      <w:numFmt w:val="decimal"/>
      <w:lvlText w:val="%7."/>
      <w:lvlJc w:val="left"/>
      <w:pPr>
        <w:ind w:left="5389" w:hanging="360"/>
      </w:pPr>
    </w:lvl>
    <w:lvl w:ilvl="7" w:tplc="FB8E29EC">
      <w:start w:val="1"/>
      <w:numFmt w:val="lowerLetter"/>
      <w:lvlText w:val="%8."/>
      <w:lvlJc w:val="left"/>
      <w:pPr>
        <w:ind w:left="6109" w:hanging="360"/>
      </w:pPr>
    </w:lvl>
    <w:lvl w:ilvl="8" w:tplc="BBAADAA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true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pPr>
      <w:spacing w:after="0" w:line="360" w:lineRule="atLeast"/>
      <w:jc w:val="both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character" w:styleId="10" w:customStyle="1">
    <w:name w:val="Заголовок 1 Знак"/>
    <w:basedOn w:val="a0"/>
    <w:link w:val="1"/>
    <w:uiPriority w:val="9"/>
    <w:rPr>
      <w:rFonts w:ascii="Arial" w:hAnsi="Arial" w:eastAsia="Arial" w:cs="Arial"/>
      <w:sz w:val="40"/>
      <w:szCs w:val="40"/>
    </w:rPr>
  </w:style>
  <w:style w:type="character" w:styleId="20" w:customStyle="1">
    <w:name w:val="Заголовок 2 Знак"/>
    <w:basedOn w:val="a0"/>
    <w:link w:val="2"/>
    <w:uiPriority w:val="9"/>
    <w:rPr>
      <w:rFonts w:ascii="Arial" w:hAnsi="Arial" w:eastAsia="Arial" w:cs="Arial"/>
      <w:sz w:val="34"/>
    </w:rPr>
  </w:style>
  <w:style w:type="character" w:styleId="30" w:customStyle="1">
    <w:name w:val="Заголовок 3 Знак"/>
    <w:basedOn w:val="a0"/>
    <w:link w:val="3"/>
    <w:uiPriority w:val="9"/>
    <w:rPr>
      <w:rFonts w:ascii="Arial" w:hAnsi="Arial" w:eastAsia="Arial" w:cs="Arial"/>
      <w:sz w:val="30"/>
      <w:szCs w:val="30"/>
    </w:rPr>
  </w:style>
  <w:style w:type="character" w:styleId="40" w:customStyle="1">
    <w:name w:val="Заголовок 4 Знак"/>
    <w:basedOn w:val="a0"/>
    <w:link w:val="4"/>
    <w:uiPriority w:val="9"/>
    <w:rPr>
      <w:rFonts w:ascii="Arial" w:hAnsi="Arial" w:eastAsia="Arial" w:cs="Arial"/>
      <w:b/>
      <w:bCs/>
      <w:sz w:val="26"/>
      <w:szCs w:val="26"/>
    </w:rPr>
  </w:style>
  <w:style w:type="character" w:styleId="50" w:customStyle="1">
    <w:name w:val="Заголовок 5 Знак"/>
    <w:basedOn w:val="a0"/>
    <w:link w:val="5"/>
    <w:uiPriority w:val="9"/>
    <w:rPr>
      <w:rFonts w:ascii="Arial" w:hAnsi="Arial" w:eastAsia="Arial" w:cs="Arial"/>
      <w:b/>
      <w:bCs/>
      <w:sz w:val="24"/>
      <w:szCs w:val="24"/>
    </w:rPr>
  </w:style>
  <w:style w:type="character" w:styleId="60" w:customStyle="1">
    <w:name w:val="Заголовок 6 Знак"/>
    <w:basedOn w:val="a0"/>
    <w:link w:val="6"/>
    <w:uiPriority w:val="9"/>
    <w:rPr>
      <w:rFonts w:ascii="Arial" w:hAnsi="Arial" w:eastAsia="Arial" w:cs="Arial"/>
      <w:b/>
      <w:bCs/>
      <w:sz w:val="22"/>
      <w:szCs w:val="22"/>
    </w:rPr>
  </w:style>
  <w:style w:type="character" w:styleId="70" w:customStyle="1">
    <w:name w:val="Заголовок 7 Знак"/>
    <w:basedOn w:val="a0"/>
    <w:link w:val="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0" w:customStyle="1">
    <w:name w:val="Заголовок 8 Знак"/>
    <w:basedOn w:val="a0"/>
    <w:link w:val="8"/>
    <w:uiPriority w:val="9"/>
    <w:rPr>
      <w:rFonts w:ascii="Arial" w:hAnsi="Arial" w:eastAsia="Arial" w:cs="Arial"/>
      <w:i/>
      <w:iCs/>
      <w:sz w:val="22"/>
      <w:szCs w:val="22"/>
    </w:rPr>
  </w:style>
  <w:style w:type="character" w:styleId="90" w:customStyle="1">
    <w:name w:val="Заголовок 9 Знак"/>
    <w:basedOn w:val="a0"/>
    <w:link w:val="9"/>
    <w:uiPriority w:val="9"/>
    <w:rPr>
      <w:rFonts w:ascii="Arial" w:hAnsi="Arial" w:eastAsia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styleId="a4" w:customStyle="1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styleId="a6" w:customStyle="1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styleId="22" w:customStyle="1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</w:rPr>
  </w:style>
  <w:style w:type="character" w:styleId="a8" w:customStyle="1">
    <w:name w:val="Выделенная цитата Знак"/>
    <w:link w:val="a7"/>
    <w:uiPriority w:val="30"/>
    <w:rPr>
      <w:i/>
    </w:rPr>
  </w:style>
  <w:style w:type="character" w:styleId="HeaderChar" w:customStyle="1">
    <w:name w:val="Header Char"/>
    <w:basedOn w:val="a0"/>
    <w:uiPriority w:val="99"/>
  </w:style>
  <w:style w:type="character" w:styleId="FooterChar" w:customStyle="1">
    <w:name w:val="Footer Char"/>
    <w:basedOn w:val="a0"/>
    <w:uiPriority w:val="99"/>
  </w:style>
  <w:style w:type="paragraph" w:styleId="a9">
    <w:name w:val="caption"/>
    <w:basedOn w:val="a"/>
    <w:next w:val="a"/>
    <w:link w:val="a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aa" w:customStyle="1">
    <w:name w:val="Название объекта Знак"/>
    <w:basedOn w:val="a0"/>
    <w:link w:val="a9"/>
    <w:uiPriority w:val="35"/>
    <w:rPr>
      <w:b/>
      <w:bCs/>
      <w:color w:val="4f81bd" w:themeColor="accent1"/>
      <w:sz w:val="18"/>
      <w:szCs w:val="18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TableGridLight" w:customStyle="1">
    <w:name w:val="Table Grid Light"/>
    <w:basedOn w:val="a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1Horz"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</w:style>
  <w:style w:type="table" w:styleId="GridTable1Light-Accent1" w:customStyle="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</w:style>
  <w:style w:type="table" w:styleId="GridTable1Light-Accent2" w:customStyle="1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</w:style>
  <w:style w:type="table" w:styleId="GridTable1Light-Accent3" w:customStyle="1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styleId="GridTable1Light-Accent4" w:customStyle="1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styleId="GridTable1Light-Accent5" w:customStyle="1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</w:style>
  <w:style w:type="table" w:styleId="GridTable1Light-Accent6" w:customStyle="1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2-Accent1" w:customStyle="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</w:style>
  <w:style w:type="table" w:styleId="GridTable2-Accent2" w:customStyle="1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styleId="GridTable2-Accent3" w:customStyle="1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</w:style>
  <w:style w:type="table" w:styleId="GridTable2-Accent4" w:customStyle="1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styleId="GridTable2-Accent5" w:customStyle="1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styleId="GridTable2-Accent6" w:customStyle="1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3-Accent1" w:customStyle="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</w:style>
  <w:style w:type="table" w:styleId="GridTable3-Accent2" w:customStyle="1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styleId="GridTable3-Accent3" w:customStyle="1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</w:style>
  <w:style w:type="table" w:styleId="GridTable3-Accent4" w:customStyle="1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styleId="GridTable3-Accent5" w:customStyle="1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styleId="GridTable3-Accent6" w:customStyle="1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i/>
        <w:color w:val="404040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</w:style>
  <w:style w:type="table" w:styleId="GridTable4-Accent1" w:customStyle="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</w:style>
  <w:style w:type="table" w:styleId="GridTable4-Accent2" w:customStyle="1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styleId="GridTable4-Accent3" w:customStyle="1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</w:style>
  <w:style w:type="table" w:styleId="GridTable4-Accent4" w:customStyle="1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styleId="GridTable4-Accent5" w:customStyle="1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styleId="GridTable4-Accent6" w:customStyle="1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band1Horz">
      <w:tcPr>
        <w:shd w:val="clear" w:color="8a8a8a" w:themeColor="text1" w:themeTint="75" w:fill="8a8a8a" w:themeFill="text1" w:themeFillTint="75"/>
      </w:tcPr>
    </w:tblStylePr>
  </w:style>
  <w:style w:type="table" w:styleId="GridTable5Dark-Accent1" w:customStyle="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band1Horz">
      <w:tcPr>
        <w:shd w:val="clear" w:color="aec4e0" w:themeColor="accent1" w:themeTint="75" w:fill="aec4e0" w:themeFill="accent1" w:themeFillTint="75"/>
      </w:tcPr>
    </w:tblStylePr>
  </w:style>
  <w:style w:type="table" w:styleId="GridTable5Dark-Accent2" w:customStyle="1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band1Horz">
      <w:tcPr>
        <w:shd w:val="clear" w:color="e2aead" w:themeColor="accent2" w:themeTint="75" w:fill="e2aead" w:themeFill="accent2" w:themeFillTint="75"/>
      </w:tcPr>
    </w:tblStylePr>
  </w:style>
  <w:style w:type="table" w:styleId="GridTable5Dark-Accent3" w:customStyle="1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band1Horz">
      <w:tcPr>
        <w:shd w:val="clear" w:color="d0dfb2" w:themeColor="accent3" w:themeTint="75" w:fill="d0dfb2" w:themeFill="accent3" w:themeFillTint="75"/>
      </w:tcPr>
    </w:tblStylePr>
  </w:style>
  <w:style w:type="table" w:styleId="GridTable5Dark-Accent4" w:customStyle="1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band1Horz">
      <w:tcPr>
        <w:shd w:val="clear" w:color="c4b7d4" w:themeColor="accent4" w:themeTint="75" w:fill="c4b7d4" w:themeFill="accent4" w:themeFillTint="75"/>
      </w:tcPr>
    </w:tblStylePr>
  </w:style>
  <w:style w:type="table" w:styleId="GridTable5Dark-Accent5" w:customStyle="1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band1Horz">
      <w:tcPr>
        <w:shd w:val="clear" w:color="acd8e4" w:themeColor="accent5" w:themeTint="75" w:fill="acd8e4" w:themeFill="accent5" w:themeFillTint="75"/>
      </w:tcPr>
    </w:tblStylePr>
  </w:style>
  <w:style w:type="table" w:styleId="GridTable5Dark-Accent6" w:customStyle="1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band1Horz"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 w:customStyle="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6Colorful-Accent2" w:customStyle="1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6Colorful-Accent3" w:customStyle="1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6Colorful-Accent4" w:customStyle="1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6Colorful-Accent5" w:customStyle="1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6Colorful-Accent6" w:customStyle="1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 w:customStyle="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styleId="GridTable7Colorful-Accent2" w:customStyle="1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GridTable7Colorful-Accent3" w:customStyle="1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styleId="GridTable7Colorful-Accent4" w:customStyle="1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GridTable7Colorful-Accent5" w:customStyle="1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GridTable7Colorful-Accent6" w:customStyle="1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tcPr>
        <w:shd w:val="clear" w:color="bfbfbf" w:themeColor="text1" w:themeTint="40" w:fill="bfbfbf" w:themeFill="text1" w:themeFillTint="40"/>
      </w:tcPr>
    </w:tblStylePr>
  </w:style>
  <w:style w:type="table" w:styleId="ListTable1Light-Accent1" w:customStyle="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tcPr>
        <w:shd w:val="clear" w:color="d2dfee" w:themeColor="accent1" w:themeTint="40" w:fill="d2dfee" w:themeFill="accent1" w:themeFillTint="40"/>
      </w:tcPr>
    </w:tblStylePr>
  </w:style>
  <w:style w:type="table" w:styleId="ListTable1Light-Accent2" w:customStyle="1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1Horz">
      <w:tcPr>
        <w:shd w:val="clear" w:color="efd2d2" w:themeColor="accent2" w:themeTint="40" w:fill="efd2d2" w:themeFill="accent2" w:themeFillTint="40"/>
      </w:tcPr>
    </w:tblStylePr>
  </w:style>
  <w:style w:type="table" w:styleId="ListTable1Light-Accent3" w:customStyle="1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1Horz">
      <w:tcPr>
        <w:shd w:val="clear" w:color="e5eed5" w:themeColor="accent3" w:themeTint="40" w:fill="e5eed5" w:themeFill="accent3" w:themeFillTint="40"/>
      </w:tcPr>
    </w:tblStylePr>
  </w:style>
  <w:style w:type="table" w:styleId="ListTable1Light-Accent4" w:customStyle="1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tcPr>
        <w:shd w:val="clear" w:color="dfd8e7" w:themeColor="accent4" w:themeTint="40" w:fill="dfd8e7" w:themeFill="accent4" w:themeFillTint="40"/>
      </w:tcPr>
    </w:tblStylePr>
  </w:style>
  <w:style w:type="table" w:styleId="ListTable1Light-Accent5" w:customStyle="1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tcPr>
        <w:shd w:val="clear" w:color="d1eaf0" w:themeColor="accent5" w:themeTint="40" w:fill="d1eaf0" w:themeFill="accent5" w:themeFillTint="40"/>
      </w:tcPr>
    </w:tblStylePr>
  </w:style>
  <w:style w:type="table" w:styleId="ListTable1Light-Accent6" w:customStyle="1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1Horz"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</w:style>
  <w:style w:type="table" w:styleId="ListTable2-Accent1" w:customStyle="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styleId="ListTable2-Accent2" w:customStyle="1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</w:style>
  <w:style w:type="table" w:styleId="ListTable2-Accent3" w:customStyle="1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</w:style>
  <w:style w:type="table" w:styleId="ListTable2-Accent4" w:customStyle="1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styleId="ListTable2-Accent5" w:customStyle="1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styleId="ListTable2-Accent6" w:customStyle="1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ListTable3-Accent1" w:customStyle="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styleId="ListTable3-Accent2" w:customStyle="1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</w:style>
  <w:style w:type="table" w:styleId="ListTable3-Accent3" w:customStyle="1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</w:style>
  <w:style w:type="table" w:styleId="ListTable3-Accent4" w:customStyle="1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</w:style>
  <w:style w:type="table" w:styleId="ListTable3-Accent5" w:customStyle="1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</w:style>
  <w:style w:type="table" w:styleId="ListTable3-Accent6" w:customStyle="1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</w:style>
  <w:style w:type="table" w:styleId="ListTable4-Accent1" w:customStyle="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styleId="ListTable4-Accent2" w:customStyle="1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</w:style>
  <w:style w:type="table" w:styleId="ListTable4-Accent3" w:customStyle="1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</w:style>
  <w:style w:type="table" w:styleId="ListTable4-Accent4" w:customStyle="1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styleId="ListTable4-Accent5" w:customStyle="1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styleId="ListTable4-Accent6" w:customStyle="1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F7F7F" w:themeColor="text1" w:themeTint="80" w:sz="32" w:space="0"/>
          <w:bottom w:val="single" w:color="FFFFFF" w:themeColor="light1" w:sz="12" w:space="0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themeColor="text1" w:themeTint="80" w:fill="7f7f7f" w:themeFill="text1" w:themeFillTint="80"/>
      </w:tcPr>
    </w:tblStylePr>
  </w:style>
  <w:style w:type="table" w:styleId="ListTable5Dark-Accent1" w:customStyle="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</w:style>
  <w:style w:type="table" w:styleId="ListTable5Dark-Accent2" w:customStyle="1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D99695" w:themeColor="accent2" w:themeTint="97" w:sz="32" w:space="0"/>
          <w:bottom w:val="single" w:color="FFFFFF" w:themeColor="light1" w:sz="12" w:space="0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695" w:themeColor="accent2" w:themeTint="97" w:fill="d996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themeColor="accent2" w:themeTint="97" w:fill="d996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695" w:themeColor="accent2" w:themeTint="97" w:fill="d99695" w:themeFill="accent2" w:themeFillTint="97"/>
      </w:tcPr>
    </w:tblStylePr>
  </w:style>
  <w:style w:type="table" w:styleId="ListTable5Dark-Accent3" w:customStyle="1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C3D69B" w:themeColor="accent3" w:themeTint="98" w:sz="32" w:space="0"/>
          <w:bottom w:val="single" w:color="FFFFFF" w:themeColor="light1" w:sz="12" w:space="0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b" w:themeColor="accent3" w:themeTint="98" w:fill="c3d69b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themeColor="accent3" w:themeTint="98" w:fill="c3d69b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b" w:themeColor="accent3" w:themeTint="98" w:fill="c3d69b" w:themeFill="accent3" w:themeFillTint="98"/>
      </w:tcPr>
    </w:tblStylePr>
  </w:style>
  <w:style w:type="table" w:styleId="ListTable5Dark-Accent4" w:customStyle="1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</w:style>
  <w:style w:type="table" w:styleId="ListTable5Dark-Accent5" w:customStyle="1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</w:style>
  <w:style w:type="table" w:styleId="ListTable5Dark-Accent6" w:customStyle="1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 w:customStyle="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6Colorful-Accent2" w:customStyle="1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6Colorful-Accent3" w:customStyle="1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6Colorful-Accent4" w:customStyle="1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6Colorful-Accent5" w:customStyle="1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6Colorful-Accent6" w:customStyle="1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 w:customStyle="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styleId="ListTable7Colorful-Accent2" w:customStyle="1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styleId="ListTable7Colorful-Accent3" w:customStyle="1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styleId="ListTable7Colorful-Accent4" w:customStyle="1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styleId="ListTable7Colorful-Accent5" w:customStyle="1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styleId="ListTable7Colorful-Accent6" w:customStyle="1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Lined-Accent" w:customStyle="1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Lined-Accent1" w:customStyle="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styleId="Lined-Accent2" w:customStyle="1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styleId="Lined-Accent3" w:customStyle="1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</w:style>
  <w:style w:type="table" w:styleId="Lined-Accent4" w:customStyle="1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styleId="Lined-Accent5" w:customStyle="1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styleId="Lined-Accent6" w:customStyle="1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</w:style>
  <w:style w:type="table" w:styleId="BorderedLined-Accent" w:customStyle="1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</w:style>
  <w:style w:type="table" w:styleId="BorderedLined-Accent1" w:customStyle="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styleId="BorderedLined-Accent2" w:customStyle="1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styleId="BorderedLined-Accent3" w:customStyle="1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</w:style>
  <w:style w:type="table" w:styleId="BorderedLined-Accent4" w:customStyle="1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styleId="BorderedLined-Accent5" w:customStyle="1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styleId="BorderedLined-Accent6" w:customStyle="1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</w:style>
  <w:style w:type="table" w:styleId="Bordered" w:customStyle="1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</w:style>
  <w:style w:type="table" w:styleId="Bordered-Accent1" w:customStyle="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</w:style>
  <w:style w:type="table" w:styleId="Bordered-Accent2" w:customStyle="1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</w:style>
  <w:style w:type="table" w:styleId="Bordered-Accent3" w:customStyle="1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styleId="Bordered-Accent4" w:customStyle="1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styleId="Bordered-Accent5" w:customStyle="1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</w:style>
  <w:style w:type="table" w:styleId="Bordered-Accent6" w:customStyle="1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character" w:styleId="FootnoteTextChar" w:customStyle="1">
    <w:name w:val="Footnote Text Char"/>
    <w:uiPriority w:val="99"/>
    <w:rPr>
      <w:sz w:val="18"/>
    </w:rPr>
  </w:style>
  <w:style w:type="paragraph" w:styleId="ac">
    <w:name w:val="endnote text"/>
    <w:basedOn w:val="a"/>
    <w:link w:val="ad"/>
    <w:uiPriority w:val="99"/>
    <w:semiHidden/>
    <w:unhideWhenUsed/>
    <w:pPr>
      <w:spacing w:line="240" w:lineRule="auto"/>
    </w:pPr>
    <w:rPr>
      <w:sz w:val="20"/>
    </w:rPr>
  </w:style>
  <w:style w:type="character" w:styleId="ad" w:customStyle="1">
    <w:name w:val="Текст концевой сноски Знак"/>
    <w:link w:val="ac"/>
    <w:uiPriority w:val="99"/>
    <w:rPr>
      <w:sz w:val="20"/>
    </w:rPr>
  </w:style>
  <w:style w:type="character" w:styleId="ae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">
    <w:name w:val="TOC Heading"/>
    <w:uiPriority w:val="39"/>
    <w:unhideWhenUsed/>
  </w:style>
  <w:style w:type="paragraph" w:styleId="af0">
    <w:name w:val="table of figures"/>
    <w:basedOn w:val="a"/>
    <w:next w:val="a"/>
    <w:uiPriority w:val="99"/>
    <w:unhideWhenUsed/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styleId="af2" w:customStyle="1">
    <w:name w:val="Верхний колонтитул Знак"/>
    <w:basedOn w:val="a0"/>
    <w:link w:val="af1"/>
    <w:uiPriority w:val="99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af3">
    <w:name w:val="footer"/>
    <w:basedOn w:val="a"/>
    <w:link w:val="af4"/>
    <w:pPr>
      <w:tabs>
        <w:tab w:val="center" w:pos="4153"/>
        <w:tab w:val="right" w:pos="8306"/>
      </w:tabs>
    </w:pPr>
  </w:style>
  <w:style w:type="character" w:styleId="af4" w:customStyle="1">
    <w:name w:val="Нижний колонтитул Знак"/>
    <w:basedOn w:val="a0"/>
    <w:link w:val="af3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af5">
    <w:name w:val="page number"/>
    <w:basedOn w:val="a0"/>
  </w:style>
  <w:style w:type="character" w:styleId="blk" w:customStyle="1">
    <w:name w:val="blk"/>
  </w:style>
  <w:style w:type="character" w:styleId="blk1" w:customStyle="1">
    <w:name w:val="blk1"/>
    <w:rPr>
      <w:vanish w:val="0"/>
    </w:rPr>
  </w:style>
  <w:style w:type="paragraph" w:styleId="af6">
    <w:name w:val="Balloon Text"/>
    <w:basedOn w:val="a"/>
    <w:link w:val="af7"/>
    <w:uiPriority w:val="99"/>
    <w:semiHidden/>
    <w:unhideWhenUsed/>
    <w:pPr>
      <w:spacing w:line="240" w:lineRule="auto"/>
    </w:pPr>
    <w:rPr>
      <w:rFonts w:ascii="Tahoma" w:hAnsi="Tahoma" w:cs="Tahoma"/>
      <w:sz w:val="16"/>
      <w:szCs w:val="16"/>
    </w:rPr>
  </w:style>
  <w:style w:type="character" w:styleId="af7" w:customStyle="1">
    <w:name w:val="Текст выноски Знак"/>
    <w:basedOn w:val="a0"/>
    <w:link w:val="af6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unhideWhenUsed/>
    <w:pPr>
      <w:spacing w:line="240" w:lineRule="auto"/>
    </w:pPr>
    <w:rPr>
      <w:sz w:val="20"/>
    </w:rPr>
  </w:style>
  <w:style w:type="character" w:styleId="afa" w:customStyle="1">
    <w:name w:val="Текст примечания Знак"/>
    <w:basedOn w:val="a0"/>
    <w:link w:val="af9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styleId="afc" w:customStyle="1">
    <w:name w:val="Тема примечания Знак"/>
    <w:basedOn w:val="afa"/>
    <w:link w:val="afb"/>
    <w:uiPriority w:val="99"/>
    <w:semiHidden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styleId="afd">
    <w:name w:val="List Paragraph"/>
    <w:basedOn w:val="a"/>
    <w:uiPriority w:val="34"/>
    <w:qFormat/>
    <w:pPr>
      <w:ind w:left="720"/>
      <w:contextualSpacing/>
    </w:pPr>
  </w:style>
  <w:style w:type="paragraph" w:styleId="afe">
    <w:name w:val="footnote text"/>
    <w:basedOn w:val="a"/>
    <w:link w:val="aff"/>
    <w:uiPriority w:val="99"/>
    <w:semiHidden/>
    <w:unhideWhenUsed/>
    <w:pPr>
      <w:spacing w:line="240" w:lineRule="auto"/>
    </w:pPr>
    <w:rPr>
      <w:sz w:val="20"/>
    </w:rPr>
  </w:style>
  <w:style w:type="character" w:styleId="aff" w:customStyle="1">
    <w:name w:val="Текст сноски Знак"/>
    <w:basedOn w:val="a0"/>
    <w:link w:val="afe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aff0">
    <w:name w:val="footnote reference"/>
    <w:basedOn w:val="a0"/>
    <w:uiPriority w:val="99"/>
    <w:semiHidden/>
    <w:unhideWhenUsed/>
    <w:rPr>
      <w:vertAlign w:val="superscript"/>
    </w:rPr>
  </w:style>
  <w:style w:type="character" w:styleId="aff1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fontstyle01" w:customStyle="1">
    <w:name w:val="fontstyle01"/>
    <w:basedOn w:val="a0"/>
    <w:rPr>
      <w:rFonts w:hint="default" w:ascii="TimesNewRomanPSMT" w:hAnsi="TimesNewRomanPSMT"/>
      <w:b w:val="0"/>
      <w:bCs w:val="0"/>
      <w:i w:val="0"/>
      <w:iCs w:val="0"/>
      <w:color w:val="000000"/>
      <w:sz w:val="28"/>
      <w:szCs w:val="28"/>
    </w:rPr>
  </w:style>
  <w:style w:type="paragraph" w:styleId="ConsPlusNormal" w:customStyle="1">
    <w:name w:val="ConsPlusNormal"/>
    <w:pPr>
      <w:widowControl w:val="off"/>
      <w:spacing w:after="0" w:line="240" w:lineRule="auto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aff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paragraph" w:styleId="aff3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  <w:jc w:val="left"/>
    </w:pPr>
    <w:rPr>
      <w:sz w:val="24"/>
      <w:szCs w:val="24"/>
    </w:rPr>
  </w:style>
  <w:style w:type="paragraph" w:styleId="ConsPlusTitlePage" w:customStyle="1">
    <w:name w:val="ConsPlusTitlePag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after="0" w:line="240" w:lineRule="auto"/>
    </w:pPr>
    <w:rPr>
      <w:rFonts w:ascii="Tahoma" w:hAnsi="Tahoma" w:eastAsia="Times New Roman" w:cs="Tahoma"/>
      <w:sz w:val="20"/>
      <w:szCs w:val="20"/>
      <w:lang w:val="en-US" w:eastAsia="zh-CN"/>
    </w:rPr>
  </w:style>
  <w:style w:type="paragraph" w:styleId="aff4">
    <w:name w:val="Revision"/>
    <w:hidden/>
    <w:uiPriority w:val="99"/>
    <w:semiHidden/>
    <w:pPr>
      <w:spacing w:after="0" w:line="240" w:lineRule="auto"/>
    </w:pPr>
    <w:rPr>
      <w:rFonts w:ascii="Times New Roman" w:hAnsi="Times New Roman" w:eastAsia="Times New Roman" w:cs="Times New Roman"/>
      <w:sz w:val="28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9295D-577B-4D89-9B03-1899ADCBE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haracters>2573</Characters>
  <CharactersWithSpaces>3018</CharactersWithSpaces>
  <Company>SPecialiST RePack</Company>
  <DocSecurity>0</DocSecurity>
  <HyperlinksChanged>false</HyperlinksChanged>
  <Lines>21</Lines>
  <LinksUpToDate>false</LinksUpToDate>
  <Pages>3</Pages>
  <Paragraphs>6</Paragraphs>
  <ScaleCrop>false</ScaleCrop>
  <SharedDoc>false</SharedDoc>
  <Template>Normal</Template>
  <TotalTime>0</TotalTime>
  <Words>451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Галкина Мария Сергеевна</dc:creator>
  <cp:keywords/>
  <dc:description/>
  <cp:lastModifiedBy>darya.shershneva</cp:lastModifiedBy>
  <cp:revision>2</cp:revision>
  <cp:lastPrinted>2026-09-07T06:39:00Z</cp:lastPrinted>
  <dcterms:created xsi:type="dcterms:W3CDTF">2026-10-26T13:18:00Z</dcterms:created>
  <dcterms:modified xsi:type="dcterms:W3CDTF">2026-10-26T13:18:00Z</dcterms:modified>
</cp:coreProperties>
</file>