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76" w:lineRule="auto"/>
        <w:ind w:firstLine="709"/>
        <w:jc w:val="right"/>
        <w:rPr>
          <w:bCs/>
          <w:szCs w:val="28"/>
        </w:rPr>
      </w:pPr>
      <w:r>
        <w:rPr>
          <w:bCs/>
          <w:szCs w:val="28"/>
        </w:rPr>
        <w:t xml:space="preserve">Проект</w:t>
      </w:r>
      <w:r>
        <w:rPr>
          <w:bCs/>
          <w:szCs w:val="28"/>
        </w:rPr>
      </w:r>
      <w:r>
        <w:rPr>
          <w:bCs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spacing w:line="240" w:lineRule="atLeast"/>
        <w:jc w:val="center"/>
        <w:rPr>
          <w:b/>
        </w:rPr>
      </w:pPr>
      <w:r>
        <w:rPr>
          <w:b/>
        </w:rPr>
        <w:t xml:space="preserve">О внесении изменений</w:t>
      </w:r>
      <w:r>
        <w:rPr>
          <w:b/>
        </w:rPr>
      </w:r>
      <w:r>
        <w:rPr>
          <w:b/>
        </w:rPr>
      </w:r>
    </w:p>
    <w:p>
      <w:pPr>
        <w:spacing w:line="240" w:lineRule="atLeast"/>
        <w:jc w:val="center"/>
        <w:rPr>
          <w:b/>
        </w:rPr>
      </w:pPr>
      <w:r>
        <w:rPr>
          <w:b/>
        </w:rPr>
        <w:t xml:space="preserve">в некоторые акты Правительства Российской Федерации</w:t>
      </w:r>
      <w:r>
        <w:rPr>
          <w:b/>
        </w:rPr>
      </w:r>
      <w:r>
        <w:rPr>
          <w:b/>
        </w:rPr>
      </w:r>
    </w:p>
    <w:p>
      <w:pPr>
        <w:spacing w:line="240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spacing w:line="240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spacing w:line="240" w:lineRule="atLeast"/>
        <w:ind w:firstLine="709"/>
      </w:pPr>
      <w:r>
        <w:t xml:space="preserve">Правительство Российской Федерации </w:t>
      </w:r>
      <w:r>
        <w:rPr>
          <w:b/>
        </w:rPr>
        <w:t xml:space="preserve">п о с </w:t>
      </w:r>
      <w:r>
        <w:rPr>
          <w:b/>
        </w:rPr>
        <w:t xml:space="preserve">т</w:t>
      </w:r>
      <w:r>
        <w:rPr>
          <w:b/>
        </w:rPr>
        <w:t xml:space="preserve"> а н о в л я е т:</w:t>
      </w:r>
    </w:p>
    <w:p>
      <w:pPr>
        <w:spacing w:line="240" w:lineRule="atLeast"/>
        <w:ind w:firstLine="709"/>
      </w:pPr>
      <w:r>
        <w:t xml:space="preserve">1. Утвердить прилагаемые изменения, которые вносятся в акты Правительства Российской Федерации.</w:t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2. Настоящее постановление вступает в силу с 1 сентября 2027 г.</w:t>
      </w:r>
      <w:r>
        <w:rPr>
          <w:szCs w:val="28"/>
        </w:rPr>
      </w:r>
      <w:r>
        <w:rPr>
          <w:szCs w:val="28"/>
        </w:rPr>
      </w:r>
    </w:p>
    <w:p>
      <w:pPr>
        <w:spacing w:line="240" w:lineRule="atLeast"/>
        <w:ind w:firstLine="709"/>
      </w:pPr>
    </w:p>
    <w:p>
      <w:pPr>
        <w:tabs>
          <w:tab w:val="center" w:pos="1758" w:leader="none"/>
        </w:tabs>
        <w:spacing w:line="240" w:lineRule="atLeast"/>
      </w:pPr>
    </w:p>
    <w:p>
      <w:pPr>
        <w:ind w:firstLine="709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tabs>
          <w:tab w:val="center" w:pos="1758" w:leader="none"/>
        </w:tabs>
        <w:spacing w:line="240" w:lineRule="atLeast"/>
        <w:rPr>
          <w:szCs w:val="28"/>
        </w:rPr>
      </w:pPr>
      <w:r>
        <w:rPr>
          <w:szCs w:val="28"/>
        </w:rPr>
        <w:tab/>
        <w:t xml:space="preserve">Председатель Правительства</w:t>
      </w:r>
      <w:r>
        <w:rPr>
          <w:szCs w:val="28"/>
        </w:rPr>
      </w:r>
      <w:r>
        <w:rPr>
          <w:szCs w:val="28"/>
        </w:rPr>
      </w:r>
    </w:p>
    <w:p>
      <w:pPr>
        <w:tabs>
          <w:tab w:val="center" w:pos="1758" w:leader="none"/>
          <w:tab w:val="right" w:pos="9072" w:leader="none"/>
        </w:tabs>
        <w:spacing w:line="240" w:lineRule="atLeast"/>
        <w:rPr>
          <w:szCs w:val="28"/>
        </w:rPr>
      </w:pPr>
      <w:r>
        <w:rPr>
          <w:szCs w:val="28"/>
        </w:rPr>
        <w:tab/>
        <w:t xml:space="preserve">Российской Федерации</w:t>
      </w:r>
      <w:r>
        <w:rPr>
          <w:szCs w:val="28"/>
        </w:rPr>
        <w:tab/>
        <w:t xml:space="preserve">М. </w:t>
      </w:r>
      <w:r>
        <w:rPr>
          <w:szCs w:val="28"/>
        </w:rPr>
        <w:t xml:space="preserve">Мишустин</w:t>
      </w:r>
      <w:r>
        <w:rPr>
          <w:szCs w:val="28"/>
        </w:rPr>
      </w:r>
      <w:r>
        <w:rPr>
          <w:szCs w:val="28"/>
        </w:rPr>
      </w:r>
    </w:p>
    <w:p>
      <w:pPr>
        <w:spacing w:line="276" w:lineRule="auto"/>
        <w:ind w:left="4990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spacing w:line="276" w:lineRule="auto"/>
        <w:ind w:left="4990"/>
        <w:jc w:val="center"/>
        <w:rPr>
          <w:bCs/>
        </w:rPr>
        <w:sectPr>
          <w:headerReference w:type="default" r:id="rId9"/>
          <w:headerReference w:type="first" r:id="rId10"/>
          <w:footnotePr/>
          <w:endnotePr/>
          <w:type w:val="nextPage"/>
          <w:pgSz w:w="11907" w:h="16840" w:orient="portrait"/>
          <w:pgMar w:top="1134" w:right="850" w:bottom="1134" w:left="1701" w:header="567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spacing w:line="276" w:lineRule="auto"/>
        <w:ind w:left="4990"/>
        <w:jc w:val="center"/>
      </w:pPr>
      <w:r>
        <w:rPr>
          <w:bCs/>
        </w:rPr>
        <w:t xml:space="preserve">УТВЕРЖДЕНЫ</w:t>
      </w:r>
    </w:p>
    <w:p>
      <w:pPr>
        <w:spacing w:line="276" w:lineRule="auto"/>
        <w:ind w:left="4990"/>
        <w:jc w:val="center"/>
      </w:pPr>
      <w:r>
        <w:t xml:space="preserve">постановлением Правительства</w:t>
      </w:r>
    </w:p>
    <w:p>
      <w:pPr>
        <w:spacing w:line="276" w:lineRule="auto"/>
        <w:ind w:left="4990"/>
        <w:jc w:val="center"/>
      </w:pPr>
      <w:r>
        <w:t xml:space="preserve">Российской Федерации</w:t>
      </w:r>
    </w:p>
    <w:p>
      <w:pPr>
        <w:spacing w:line="276" w:lineRule="auto"/>
        <w:ind w:left="4990"/>
        <w:jc w:val="center"/>
      </w:pPr>
      <w:r>
        <w:t xml:space="preserve">от                        2026 г. №</w:t>
      </w:r>
    </w:p>
    <w:p>
      <w:pPr>
        <w:spacing w:line="276" w:lineRule="auto"/>
        <w:jc w:val="center"/>
      </w:pPr>
    </w:p>
    <w:p>
      <w:pPr>
        <w:spacing w:line="276" w:lineRule="auto"/>
      </w:pPr>
    </w:p>
    <w:p>
      <w:pPr>
        <w:spacing w:line="240" w:lineRule="auto"/>
        <w:jc w:val="center"/>
        <w:rPr>
          <w:b/>
        </w:rPr>
      </w:pPr>
      <w:r>
        <w:rPr>
          <w:b/>
          <w:bCs/>
          <w:spacing w:val="100"/>
        </w:rPr>
        <w:t xml:space="preserve">ИЗМЕНЕНИЯ,</w:t>
      </w:r>
      <w:r>
        <w:rPr>
          <w:b/>
        </w:rPr>
      </w:r>
      <w:r>
        <w:rPr>
          <w:b/>
        </w:rPr>
      </w:r>
    </w:p>
    <w:p>
      <w:pPr>
        <w:spacing w:line="240" w:lineRule="atLeast"/>
        <w:jc w:val="center"/>
        <w:rPr>
          <w:b/>
        </w:rPr>
      </w:pPr>
      <w:r>
        <w:rPr>
          <w:b/>
        </w:rPr>
        <w:t xml:space="preserve">которые вносятся в некоторые акты Правительства Российской Федерации</w:t>
      </w:r>
      <w:r>
        <w:rPr>
          <w:b/>
        </w:rPr>
      </w:r>
      <w:r>
        <w:rPr>
          <w:b/>
        </w:rPr>
      </w:r>
    </w:p>
    <w:p>
      <w:pPr>
        <w:spacing w:line="240" w:lineRule="auto"/>
      </w:pPr>
    </w:p>
    <w:p>
      <w:pPr>
        <w:spacing w:line="240" w:lineRule="auto"/>
        <w:ind w:firstLine="709"/>
        <w:rPr>
          <w:szCs w:val="28"/>
        </w:rPr>
      </w:pPr>
      <w:r>
        <w:t xml:space="preserve">1. Внести в Положение об организации и проведении государственной экспертизы проектной докуме</w:t>
      </w:r>
      <w:r>
        <w:t xml:space="preserve">нтации и результатов инженерных изысканий, утвержденное постановлением Правительства Российской Федерации от 5 марта 2007 года № 145 "О порядке организации и проведения государственной экспертизы проектной документации и результатов инженерных изысканий" (</w:t>
      </w:r>
      <w:r>
        <w:rPr>
          <w:szCs w:val="28"/>
        </w:rPr>
        <w:t xml:space="preserve">Собрание законодательства Российской Федерации, 2007, № 11, ст. 1336; 2020, № 2, ст. 190; № 41, ст. 6432; 2021, № 16, ст. 2787; 2022, № 10, ст. 1531; 2023, № 20, ст. 3552; № 39, ст. 7024) следующие изменения: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1) абзац второй пункта 2 изложить в следующей редакции: </w:t>
      </w:r>
      <w:r>
        <w:rPr>
          <w:szCs w:val="28"/>
        </w:rPr>
      </w:r>
      <w:r>
        <w:rPr>
          <w:szCs w:val="28"/>
        </w:rPr>
      </w:r>
    </w:p>
    <w:p>
      <w:pPr>
        <w:pStyle w:val="882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"заявитель" - технический заказчик, застройщик, а также лицо, обеспечившее выполнение инженерных изысканий</w:t>
      </w:r>
      <w:r>
        <w:rPr>
          <w:sz w:val="28"/>
          <w:szCs w:val="28"/>
        </w:rPr>
        <w:t xml:space="preserve"> и (или) подготовку проектной документации в случаях, предусмотренных частями 1.1 – 1.3 статьи 48 Градостроительного кодекса Российской Федерации, или уполномоченное кем-либо из них лицо, обратившиеся с заявлением о проведении государственной экспертизы;";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2) в абзаце третьем подпункта "б" пункта 5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3) в пункте 13: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в подпункте "и" </w:t>
      </w:r>
      <w:r>
        <w:rPr>
          <w:szCs w:val="28"/>
        </w:rPr>
        <w:t xml:space="preserve">слова "1.1 и 1.2 статьи 48" заменить словами "1.1 – 1.3 статьи 48";</w:t>
      </w:r>
    </w:p>
    <w:p>
      <w:pPr>
        <w:spacing w:line="240" w:lineRule="auto"/>
        <w:ind w:firstLine="709"/>
        <w:rPr>
          <w:szCs w:val="28"/>
        </w:rPr>
      </w:pPr>
      <w:r>
        <w:t xml:space="preserve">в подпункте </w:t>
      </w:r>
      <w:r>
        <w:rPr>
          <w:szCs w:val="28"/>
        </w:rPr>
        <w:t xml:space="preserve">"</w:t>
      </w:r>
      <w:r>
        <w:t xml:space="preserve">к2</w:t>
      </w:r>
      <w:r>
        <w:rPr>
          <w:szCs w:val="28"/>
        </w:rPr>
        <w:t xml:space="preserve">"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подпункт </w:t>
      </w:r>
      <w:r>
        <w:rPr>
          <w:szCs w:val="28"/>
        </w:rPr>
        <w:t xml:space="preserve">"л7" изложить в следующей редакции: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rPr>
          <w:szCs w:val="28"/>
        </w:rPr>
        <w:t xml:space="preserve">"л7) </w:t>
      </w:r>
      <w:r>
        <w:t xml:space="preserve">в случае отсутствия сведений о решениях (актах), указанных в </w:t>
      </w:r>
      <w:hyperlink w:tooltip="дата и номер правового акта Правительства Российской Федерации либо решения главного распорядителя средств федерального бюджета о подготовке и реализации бюджетных инвестиций, о предоставлении субсидий на осуществление капитальных вложений в объект капитальног" w:anchor="P175" w:history="1">
        <w:r>
          <w:t xml:space="preserve">абзацах двенадцатом</w:t>
        </w:r>
      </w:hyperlink>
      <w:r>
        <w:t xml:space="preserve"> - </w:t>
      </w:r>
      <w:hyperlink w:tooltip="дата и номер решения руководителя государственной компании и корпорации об осуществлении капитальных вложений в объект капитального строительства - в отношении объекта капитального строительства, строительство, реконструкция которого финансируется с привлечени" w:anchor="P183" w:history="1">
        <w:r>
          <w:t xml:space="preserve">шестнадцатом подпункта "а"</w:t>
        </w:r>
      </w:hyperlink>
      <w:r>
        <w:t xml:space="preserve"> настоящего пункта, в том числе в связи с тем, что такие решения (акты) не подлежат официальному опубликованию, а также в случае, если сметная стоимость стро</w:t>
      </w:r>
      <w:r>
        <w:t xml:space="preserve">ительства, реконструкции объекта капитального строительства, указанная в проектной документации, превышает сметную или предполагаемую (предельную) стоимость строительства, реконструкции объекта капитального строительства, установленную в отношении объекта </w:t>
      </w:r>
      <w:r>
        <w:t xml:space="preserve">капитального строительства соответствующим р</w:t>
      </w:r>
      <w:r>
        <w:t xml:space="preserve">ешением (актом), или в случае, если руководителем государственной компании и корпорации принято решение об осуществлении капитальных вложений в объект капитального строительства, строительство, реконструкция которого финансируется за счет средств указанной</w:t>
      </w:r>
      <w:r>
        <w:t xml:space="preserve"> государственной компании и корпорации (без привлечения средств бюджетов бюджетной системы Российской Федерации), – письмо</w:t>
      </w:r>
      <w:r>
        <w:t xml:space="preserve">,</w:t>
      </w:r>
      <w:r>
        <w:t xml:space="preserve"> </w:t>
      </w:r>
      <w:r>
        <w:t xml:space="preserve">подтверждающее указанную в заявлении сметную или предполагаемую (предельную) стоимость строительства</w:t>
      </w:r>
      <w:r>
        <w:t xml:space="preserve">, реконструкции объекта капитального строительства, содержащее информацию о предполагаемых источниках финансирования строительства, реконструкции объекта капитального строительства, предусмотренных законом (решением) о бюджете, либо внебюджетных источниках</w:t>
      </w:r>
      <w:r>
        <w:t xml:space="preserve">:</w:t>
      </w:r>
    </w:p>
    <w:p>
      <w:pPr>
        <w:spacing w:line="240" w:lineRule="auto"/>
        <w:ind w:firstLine="709"/>
      </w:pPr>
      <w:r>
        <w:t xml:space="preserve">для объектов, финансирование строительства, реконструкции которых планируется осуществлять с привлечением средств, предоставляемых из федерального бюджета</w:t>
      </w:r>
      <w:r>
        <w:t xml:space="preserve">,</w:t>
      </w:r>
      <w:r>
        <w:t xml:space="preserve"> – </w:t>
      </w:r>
      <w:r>
        <w:t xml:space="preserve">руководителя (или ин</w:t>
      </w:r>
      <w:r>
        <w:t xml:space="preserve">ого должностного лица, уполномоченного доверенностью) федерального органа исполнительной власти или организации, осуществляющих в соответствии с бюджетным законодательством Российской Федерации полномочия главного распорядителя средств федерального бюджета</w:t>
      </w:r>
      <w:r>
        <w:t xml:space="preserve">;</w:t>
      </w:r>
    </w:p>
    <w:p>
      <w:pPr>
        <w:spacing w:line="240" w:lineRule="auto"/>
        <w:ind w:firstLine="709"/>
      </w:pPr>
      <w:r>
        <w:t xml:space="preserve">для объектов, финансирование строительства, реконструкции которых планируется осуществлять с привлечени</w:t>
      </w:r>
      <w:r>
        <w:t xml:space="preserve">ем средств бюджетов субъектов Российской Федерации, в том числе объектов государственной собственности субъектов Российской Федерации, в целях софинансирования которых из федерального бюджета предоставляются субсидии бюджетам субъектов Российской Федерации</w:t>
      </w:r>
      <w:r>
        <w:t xml:space="preserve">,</w:t>
      </w:r>
      <w:r>
        <w:t xml:space="preserve"> </w:t>
      </w:r>
      <w:r>
        <w:t xml:space="preserve">–</w:t>
      </w:r>
      <w:r>
        <w:t xml:space="preserve"> </w:t>
      </w:r>
      <w:r>
        <w:t xml:space="preserve">высшего должностного лица субъекта Российской Федерации (заместителя высшего должностного лица субъекта Российской Федерации), или председателя высшего ис</w:t>
      </w:r>
      <w:r>
        <w:t xml:space="preserve">полнительного органа субъекта Российской Федерации (или заместителя председателя высшего исполнительного органа субъекта Российской Федерации в соответствии с установленным высшим должностным лицом субъекта Российской Федерации распределением обязанностей)</w:t>
      </w:r>
      <w:r>
        <w:t xml:space="preserve">;</w:t>
      </w:r>
    </w:p>
    <w:p>
      <w:pPr>
        <w:spacing w:line="240" w:lineRule="auto"/>
        <w:ind w:firstLine="709"/>
      </w:pPr>
      <w:r>
        <w:t xml:space="preserve">для объектов, финансирование строительс</w:t>
      </w:r>
      <w:r>
        <w:t xml:space="preserve">тва, реконструкции которых планируется осуществлять с привлечением местных бюджетов, в том числе объектов муниципальной собственности, в целях софинансирования которых из федерального бюджета предоставляются субсидии бюджетам субъектов Российской Федерации</w:t>
      </w:r>
      <w:r>
        <w:t xml:space="preserve">,</w:t>
      </w:r>
      <w:r>
        <w:t xml:space="preserve"> </w:t>
      </w:r>
      <w:r>
        <w:t xml:space="preserve">–</w:t>
      </w:r>
      <w:r>
        <w:t xml:space="preserve"> </w:t>
      </w:r>
      <w:r>
        <w:t xml:space="preserve">главы местной администрации (или иного должностного лица, уполномоченного доверенностью)</w:t>
      </w:r>
      <w:r>
        <w:t xml:space="preserve">;</w:t>
      </w:r>
    </w:p>
    <w:p>
      <w:pPr>
        <w:spacing w:line="240" w:lineRule="auto"/>
        <w:ind w:firstLine="709"/>
        <w:rPr>
          <w:szCs w:val="28"/>
        </w:rPr>
      </w:pPr>
      <w:r>
        <w:t xml:space="preserve">в случае строительства, реконструкции объектов капитального строительства за счет средств государственной компании и корпорации без привлечения средств бюджетов бюджетной системы Российской Федерации</w:t>
      </w:r>
      <w:r>
        <w:t xml:space="preserve"> </w:t>
      </w:r>
      <w:r>
        <w:t xml:space="preserve">–</w:t>
      </w:r>
      <w:r>
        <w:t xml:space="preserve"> </w:t>
      </w:r>
      <w:r>
        <w:t xml:space="preserve">руководителя (или иного должностного лица, уполномоченного доверенностью) государственной компании и корпорации;</w:t>
      </w:r>
      <w:r>
        <w:rPr>
          <w:szCs w:val="28"/>
        </w:rPr>
        <w:t xml:space="preserve">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4) в подпункте </w:t>
      </w:r>
      <w:r>
        <w:rPr>
          <w:szCs w:val="28"/>
        </w:rPr>
        <w:t xml:space="preserve">"</w:t>
      </w:r>
      <w:r>
        <w:t xml:space="preserve">г</w:t>
      </w:r>
      <w:r>
        <w:rPr>
          <w:szCs w:val="28"/>
        </w:rPr>
        <w:t xml:space="preserve">" пункта 16.3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5) в подпункте </w:t>
      </w:r>
      <w:r>
        <w:rPr>
          <w:szCs w:val="28"/>
        </w:rPr>
        <w:t xml:space="preserve">"</w:t>
      </w:r>
      <w:r>
        <w:t xml:space="preserve">г</w:t>
      </w:r>
      <w:r>
        <w:rPr>
          <w:szCs w:val="28"/>
        </w:rPr>
        <w:t xml:space="preserve">"</w:t>
      </w:r>
      <w:r>
        <w:t xml:space="preserve"> пункта 17.3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6) в пункте 17.3-1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7) в пункте 17.3-2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8) в подпункте </w:t>
      </w:r>
      <w:r>
        <w:rPr>
          <w:szCs w:val="28"/>
        </w:rPr>
        <w:t xml:space="preserve">"</w:t>
      </w:r>
      <w:r>
        <w:t xml:space="preserve">б</w:t>
      </w:r>
      <w:r>
        <w:rPr>
          <w:szCs w:val="28"/>
        </w:rPr>
        <w:t xml:space="preserve">" пункта 17.4 </w:t>
      </w:r>
      <w:r>
        <w:t xml:space="preserve">слова "п" пункта 13" заменить на слова "н" пункта 13";</w:t>
      </w:r>
    </w:p>
    <w:p>
      <w:pPr>
        <w:spacing w:line="240" w:lineRule="auto"/>
        <w:ind w:firstLine="709"/>
        <w:rPr>
          <w:szCs w:val="28"/>
        </w:rPr>
      </w:pPr>
      <w:r>
        <w:t xml:space="preserve">9) в абзаце пятом пункта 18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10) в абзацах первом и втором пункта 20.1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11) второе предложение абзаца третьего пункта 27.1 изложить в следующей редакции:</w:t>
      </w:r>
    </w:p>
    <w:p>
      <w:pPr>
        <w:spacing w:line="240" w:lineRule="auto"/>
        <w:ind w:firstLine="709"/>
      </w:pPr>
      <w:r>
        <w:rPr>
          <w:szCs w:val="28"/>
        </w:rPr>
        <w:t xml:space="preserve">"</w:t>
      </w:r>
      <w:r>
        <w:t xml:space="preserve">В указанном случае осуществляется экспертная оценка таких разделов проектной документации на предмет их соответствия требованиям, установленным законодательством Российской Федерации к составу и содерж</w:t>
      </w:r>
      <w:r>
        <w:t xml:space="preserve">анию разделов проектной документации, результатам инженерных изысканий, получившими положительное заключение государственной экспертизы, а также экспертная оценка совместимости таких разделов проектной документации с иными разделами проектной документации.</w:t>
      </w:r>
      <w:r>
        <w:rPr>
          <w:szCs w:val="28"/>
        </w:rPr>
        <w:t xml:space="preserve">"</w:t>
      </w:r>
      <w:r>
        <w:t xml:space="preserve">;</w:t>
      </w:r>
    </w:p>
    <w:p>
      <w:pPr>
        <w:spacing w:line="240" w:lineRule="auto"/>
        <w:ind w:firstLine="709"/>
        <w:rPr>
          <w:szCs w:val="28"/>
        </w:rPr>
      </w:pPr>
      <w:r>
        <w:t xml:space="preserve">12) в </w:t>
      </w:r>
      <w:r>
        <w:rPr>
          <w:szCs w:val="28"/>
        </w:rPr>
        <w:t xml:space="preserve">пункте 27.3 внести следующие изменения:</w:t>
      </w:r>
      <w:r>
        <w:rPr>
          <w:szCs w:val="28"/>
        </w:rPr>
      </w:r>
      <w:r>
        <w:rPr>
          <w:szCs w:val="28"/>
        </w:rPr>
      </w:r>
    </w:p>
    <w:p>
      <w:pPr>
        <w:pStyle w:val="867"/>
        <w:spacing w:line="240" w:lineRule="auto"/>
        <w:ind w:left="0" w:firstLine="709"/>
        <w:rPr>
          <w:szCs w:val="28"/>
        </w:rPr>
      </w:pPr>
      <w:r>
        <w:rPr>
          <w:szCs w:val="28"/>
        </w:rPr>
        <w:t xml:space="preserve">абзац первый дополнить словами "(в случае проведения капитального ремонта – предусмотренным в ведомости объемов работ и акте, утвержденном застройщиком или техническим заказчиком и сод</w:t>
      </w:r>
      <w:r>
        <w:rPr>
          <w:szCs w:val="28"/>
        </w:rPr>
        <w:t xml:space="preserve">ержащем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 по состоянию на дату обследования).";</w:t>
      </w:r>
      <w:r>
        <w:rPr>
          <w:szCs w:val="28"/>
        </w:rPr>
      </w:r>
      <w:r>
        <w:rPr>
          <w:szCs w:val="28"/>
        </w:rPr>
      </w:r>
    </w:p>
    <w:p>
      <w:pPr>
        <w:pStyle w:val="867"/>
        <w:spacing w:line="240" w:lineRule="auto"/>
        <w:ind w:left="0" w:firstLine="709"/>
        <w:rPr>
          <w:szCs w:val="28"/>
        </w:rPr>
      </w:pPr>
      <w:r>
        <w:rPr>
          <w:szCs w:val="28"/>
        </w:rPr>
        <w:t xml:space="preserve">абзац пятый признать утратившим силу.</w:t>
      </w:r>
      <w:r>
        <w:rPr>
          <w:szCs w:val="28"/>
        </w:rPr>
      </w:r>
      <w:r>
        <w:rPr>
          <w:szCs w:val="28"/>
        </w:rPr>
      </w:r>
    </w:p>
    <w:p>
      <w:pPr>
        <w:pStyle w:val="867"/>
        <w:spacing w:line="240" w:lineRule="auto"/>
        <w:ind w:left="0" w:firstLine="709"/>
      </w:pPr>
      <w:r>
        <w:t xml:space="preserve">13) пункт 29.7 дополнить абзацем следующего содержания:</w:t>
      </w:r>
    </w:p>
    <w:p>
      <w:pPr>
        <w:spacing w:line="240" w:lineRule="auto"/>
        <w:ind w:firstLine="709"/>
      </w:pPr>
      <w:r>
        <w:t xml:space="preserve">"</w:t>
      </w:r>
      <w:r>
        <w:rPr>
          <w:szCs w:val="24"/>
        </w:rPr>
        <w:t xml:space="preserve">Если в ходе проведения государственной экспертизы в разделы проектной документации, в отношении которых получено заключение о согласовании разделов проектной документации или о сог</w:t>
      </w:r>
      <w:r>
        <w:rPr>
          <w:szCs w:val="24"/>
        </w:rPr>
        <w:t xml:space="preserve">ласовании результатов инженерных изысканий и разделов проектной документации в рамках экспертного сопровождения до направления проектной документации на государственную экспертизу, вносятся оперативные изменения, срок проведения государственной экспертизы </w:t>
      </w:r>
      <w:r>
        <w:rPr>
          <w:szCs w:val="24"/>
        </w:rPr>
        <w:t xml:space="preserve">такой </w:t>
      </w:r>
      <w:r>
        <w:rPr>
          <w:szCs w:val="24"/>
        </w:rPr>
        <w:t xml:space="preserve">проектной </w:t>
      </w:r>
      <w:r>
        <w:rPr>
          <w:szCs w:val="24"/>
        </w:rPr>
        <w:t xml:space="preserve">документации может быть </w:t>
      </w:r>
      <w:r>
        <w:rPr>
          <w:szCs w:val="24"/>
        </w:rPr>
        <w:t xml:space="preserve">продлен </w:t>
      </w:r>
      <w:r>
        <w:rPr>
          <w:szCs w:val="24"/>
        </w:rPr>
        <w:t xml:space="preserve"> организацией по проведению экспертизы, но не более чем до 42 рабочих дней, в порядке, предусмотренном договором</w:t>
      </w:r>
      <w:r>
        <w:t xml:space="preserve">.";</w:t>
      </w:r>
    </w:p>
    <w:p>
      <w:pPr>
        <w:spacing w:line="240" w:lineRule="auto"/>
        <w:ind w:firstLine="709"/>
      </w:pPr>
      <w:r>
        <w:t xml:space="preserve">14) пункт 29.8 дополнить абзацем следующего содержания:</w:t>
      </w:r>
    </w:p>
    <w:p>
      <w:pPr>
        <w:spacing w:line="240" w:lineRule="auto"/>
        <w:ind w:firstLine="709"/>
      </w:pPr>
      <w:r>
        <w:t xml:space="preserve">"</w:t>
      </w:r>
      <w:r>
        <w:rPr>
          <w:szCs w:val="24"/>
        </w:rPr>
        <w:t xml:space="preserve">Если в ходе проведения государственной экспертизы в разделы проектной документации, в отношении которых получено заключение о согласовании разделов проектной документации или о сог</w:t>
      </w:r>
      <w:r>
        <w:rPr>
          <w:szCs w:val="24"/>
        </w:rPr>
        <w:t xml:space="preserve">ласовании результатов инженерных изысканий и разделов проектной документации в рамках экспертного сопровождения до направления проектной документации на государственную экспертизу, вносятся оперативные изменения, срок проведения государственной экспертизы </w:t>
      </w:r>
      <w:r>
        <w:rPr>
          <w:szCs w:val="24"/>
        </w:rPr>
        <w:t xml:space="preserve">такой </w:t>
      </w:r>
      <w:r>
        <w:rPr>
          <w:szCs w:val="24"/>
        </w:rPr>
        <w:t xml:space="preserve">проектной документации может быть </w:t>
      </w:r>
      <w:r>
        <w:rPr>
          <w:szCs w:val="24"/>
        </w:rPr>
        <w:t xml:space="preserve">продлен</w:t>
      </w:r>
      <w:r>
        <w:rPr>
          <w:szCs w:val="24"/>
        </w:rPr>
        <w:t xml:space="preserve"> организацией по проведению экспертизы, но не более чем до 42 рабочих дней, в порядке, предусмотренном договором</w:t>
      </w:r>
      <w:r>
        <w:t xml:space="preserve">.";</w:t>
      </w:r>
    </w:p>
    <w:p>
      <w:pPr>
        <w:spacing w:line="240" w:lineRule="auto"/>
        <w:ind w:firstLine="709"/>
        <w:rPr>
          <w:szCs w:val="28"/>
        </w:rPr>
      </w:pPr>
      <w:r>
        <w:t xml:space="preserve">15) </w:t>
      </w:r>
      <w:r>
        <w:rPr>
          <w:szCs w:val="28"/>
        </w:rPr>
        <w:t xml:space="preserve">в первом предложении пункта 31 слова "но не позднее чем за 10 рабочих дней до окончания срока проведения государственной экспертизы" исключить;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16) в подпункте </w:t>
      </w:r>
      <w:r>
        <w:rPr>
          <w:szCs w:val="28"/>
        </w:rPr>
        <w:t xml:space="preserve">"в"</w:t>
      </w:r>
      <w:r>
        <w:t xml:space="preserve"> пункта 40 </w:t>
      </w:r>
      <w:r>
        <w:rPr>
          <w:szCs w:val="28"/>
        </w:rPr>
        <w:t xml:space="preserve">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17) в абзаце первом пункта 45.1 слова "в законодательство Российской Федерации внесены изменения, в соответствии с которыми государственная экспертиза должна осуществляться иной организацией по проведению государственной экспертизы" заменить словам</w:t>
      </w:r>
      <w:r>
        <w:t xml:space="preserve">и "повторная государственная экспертиза проводится в иной организации по проведению государственной экспертизы (отличной от организации по проведению государственной экспертизы, которая провела первичную (предыдущую повторную) государственную экспертизу)";</w:t>
      </w:r>
    </w:p>
    <w:p>
      <w:pPr>
        <w:pStyle w:val="867"/>
        <w:spacing w:line="276" w:lineRule="auto"/>
        <w:ind w:left="0" w:right="-2" w:firstLine="709"/>
        <w:rPr>
          <w:szCs w:val="28"/>
        </w:rPr>
      </w:pPr>
      <w:r>
        <w:rPr>
          <w:szCs w:val="28"/>
        </w:rPr>
        <w:t xml:space="preserve">18) в пункте 45.6 слова "но не позднее чем за 10 рабочих дней до окончания срока проведения государственной экспертизы" исключить;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19) пункт 56.1 изложить в следующей редакции:</w:t>
      </w:r>
    </w:p>
    <w:p>
      <w:pPr>
        <w:spacing w:line="240" w:lineRule="auto"/>
        <w:ind w:firstLine="709"/>
      </w:pPr>
      <w:r>
        <w:rPr>
          <w:szCs w:val="28"/>
        </w:rPr>
        <w:t xml:space="preserve">"</w:t>
      </w:r>
      <w:r>
        <w:t xml:space="preserve">56.1 В случае представления на государственную экспертизу раздела проектной документации, в отношении которого получено заключен</w:t>
      </w:r>
      <w:r>
        <w:t xml:space="preserve">ие о согласовании разделов проектной документации или о согласовании результатов инженерных изысканий и разделов проектной документации в рамках экспертного сопровождения до направления проектной документации на государственную экспертизу, в который не вно</w:t>
      </w:r>
      <w:r>
        <w:t xml:space="preserve">сились изменения, при определении в соответствии с пунктом 56 настоящего Положения размера платы за проведение государственной экспертизы проектной документации в стоимость изготовления проектной документации, представленной на государственную экспертизу (</w:t>
      </w:r>
      <w:r>
        <w:t xml:space="preserve">Спд</w:t>
      </w:r>
      <w:r>
        <w:t xml:space="preserve">), не включается стоимость изготовления такого раздела проектной документации, за исключением случая</w:t>
      </w:r>
      <w:r>
        <w:t xml:space="preserve">,</w:t>
      </w:r>
      <w:r>
        <w:t xml:space="preserve"> установленного абзацем вторым настоящего пункта.</w:t>
      </w:r>
    </w:p>
    <w:p>
      <w:pPr>
        <w:spacing w:line="240" w:lineRule="auto"/>
        <w:ind w:firstLine="709"/>
      </w:pPr>
      <w:r>
        <w:t xml:space="preserve">В случае представления на государственную э</w:t>
      </w:r>
      <w:r>
        <w:t xml:space="preserve">кспертизу всех разделов проектной документации, необходимых в соответствии с требованиями, установленными законодательством Российской Федерации к составу и содержанию разделов проектной документации, в отношении которых получены заключения о согласовании </w:t>
      </w:r>
      <w:r>
        <w:t xml:space="preserve">разделов проектной документации или о согласовании результатов инженерных изысканий и разделов проектной документации в рамках экспертного сопровождения до направления проектной документации на государственную экспертизу и в которые не вносились изменения,</w:t>
      </w:r>
      <w:r>
        <w:t xml:space="preserve"> при определении в соответствии с пунктом 56 настоящего Положения размера платы за проведение государственной экспертизы проектной документации в обязательном порядке включается стоимость изготовления раздела проектной документации "Пояснительная записка".</w:t>
      </w:r>
    </w:p>
    <w:p>
      <w:pPr>
        <w:spacing w:line="240" w:lineRule="auto"/>
        <w:ind w:firstLine="709"/>
      </w:pPr>
      <w:r>
        <w:t xml:space="preserve">Если в ходе экспертизы проектной документации будет установлена необходимость оценки соотв</w:t>
      </w:r>
      <w:r>
        <w:t xml:space="preserve">етствия ранее согласованного раздела проектной документации, плата за проведение государственной экспертизы проектной документации подлежит перерасчету в порядке, предусмотренном договором, без учета положений абзацев первого и второго настоящего пункта.".</w:t>
      </w:r>
    </w:p>
    <w:p>
      <w:pPr>
        <w:spacing w:line="240" w:lineRule="auto"/>
        <w:ind w:firstLine="709"/>
        <w:rPr>
          <w:szCs w:val="28"/>
        </w:rPr>
      </w:pPr>
      <w:r>
        <w:t xml:space="preserve">2. Внести в Положение о порядке экспертного сопровождения результатов инженерных изысканий и (или) разделов проектной документации объекта капитального строительства утвержденное постановлением Правительства Российской Федерации от 6 мая 2023 года </w:t>
      </w:r>
      <w:r>
        <w:br/>
        <w:t xml:space="preserve">№ 717 "Об утверждении Положения о порядке экспертного сопровождения результатов инженерных изы</w:t>
      </w:r>
      <w:r>
        <w:t xml:space="preserve">сканий и (или) разделов проектной документации объекта капитального строительства,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Федерации" (</w:t>
      </w:r>
      <w:r>
        <w:rPr>
          <w:szCs w:val="28"/>
        </w:rPr>
        <w:t xml:space="preserve">Собрание законодательства Российской Федерации, 2023, № 20, ст. 3552) следующие изменения: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1) в пункте 4: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в абзаце первом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в подпункте "б"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rPr>
          <w:szCs w:val="28"/>
        </w:rPr>
        <w:t xml:space="preserve">дополнить подпунктом </w:t>
      </w:r>
      <w:r>
        <w:t xml:space="preserve">"з" следующего содержания:</w:t>
      </w:r>
    </w:p>
    <w:p>
      <w:pPr>
        <w:spacing w:line="240" w:lineRule="auto"/>
        <w:ind w:firstLine="709"/>
        <w:rPr>
          <w:szCs w:val="28"/>
        </w:rPr>
      </w:pPr>
      <w:r>
        <w:t xml:space="preserve">"з) сведения (дата и номер) о положительном заключении экспертизы результатов инженерных изысканий или заключении о согласовании результатов</w:t>
      </w:r>
      <w:r>
        <w:t xml:space="preserve"> инженерных изысканий, предусмотренном подпунктом "а" пункта 30 настоящего Положения, выданным экспертной организацией, в которую представляются документы (в случае заключения договора, предметом которого является оценка разделов проектной документации).";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2) в пункте 5: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абзац первый изложить в следующей редакции: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"5. К заявлению о заключении договора прилагаются:";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в подпункте "г" слова "1.1 и 1.2 статьи 48" заменить словами "1.1 – 1.3 статьи 48";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3) в пункте 11 после слова </w:t>
      </w:r>
      <w:r>
        <w:t xml:space="preserve">"</w:t>
      </w:r>
      <w:r>
        <w:rPr>
          <w:szCs w:val="28"/>
        </w:rPr>
        <w:t xml:space="preserve">заявления</w:t>
      </w:r>
      <w:r>
        <w:t xml:space="preserve">"</w:t>
      </w:r>
      <w:r>
        <w:rPr>
          <w:szCs w:val="28"/>
        </w:rPr>
        <w:t xml:space="preserve"> дополнить словами </w:t>
      </w:r>
      <w:r>
        <w:t xml:space="preserve">"о заключении договора";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4) в пункте 16:</w:t>
      </w:r>
    </w:p>
    <w:p>
      <w:pPr>
        <w:spacing w:line="240" w:lineRule="auto"/>
        <w:ind w:firstLine="709"/>
      </w:pPr>
      <w:r>
        <w:t xml:space="preserve">слова ", но не позднее 22 рабочих дней до дня завершения срока его действия," исключить;</w:t>
      </w:r>
    </w:p>
    <w:p>
      <w:pPr>
        <w:spacing w:line="240" w:lineRule="auto"/>
        <w:ind w:firstLine="709"/>
      </w:pPr>
      <w:r>
        <w:t xml:space="preserve">в подпункте "б" слова "(в том числе в отношении отдельных видов инженерных изысканий)" исключить;</w:t>
      </w:r>
    </w:p>
    <w:p>
      <w:pPr>
        <w:spacing w:line="240" w:lineRule="auto"/>
        <w:ind w:firstLine="709"/>
      </w:pPr>
      <w:r>
        <w:t xml:space="preserve">5) в пункте 17 слова ", но не позднее 22 рабочих дней до дня завершения срока его действия," исключить;</w:t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6) дополнить пунктом 17.1 следующего содержания: 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t xml:space="preserve">"17.1 </w:t>
      </w:r>
      <w:r>
        <w:t xml:space="preserve">В</w:t>
      </w:r>
      <w:r>
        <w:t xml:space="preserve"> рамках экспертного сопровождения заявитель вправе направить документы, указанные в пунктах 16 и 17 настоящего Положения, неоднократно в течение срока действия договора.";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7) в пункте 18 слова </w:t>
      </w:r>
      <w:r>
        <w:t xml:space="preserve">", но не позднее 22 рабочих дней до дня завершения срока его действия"</w:t>
      </w:r>
      <w:r>
        <w:rPr>
          <w:szCs w:val="28"/>
        </w:rPr>
        <w:t xml:space="preserve"> исключить;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  <w:t xml:space="preserve">8) абзац четвертый пункта 24 признать утратившим силу;</w:t>
      </w:r>
      <w:r>
        <w:rPr>
          <w:szCs w:val="28"/>
        </w:rPr>
      </w:r>
      <w:r>
        <w:rPr>
          <w:szCs w:val="28"/>
        </w:rPr>
      </w:r>
    </w:p>
    <w:p>
      <w:pPr>
        <w:spacing w:line="240" w:lineRule="auto"/>
        <w:ind w:firstLine="709"/>
      </w:pPr>
      <w:r>
        <w:t xml:space="preserve">9) в абзаце третьем пункта 27 слова "разделов проектной документации и" </w:t>
      </w:r>
      <w:bookmarkStart w:id="0" w:name="_GoBack"/>
      <w:bookmarkEnd w:id="0"/>
      <w:r>
        <w:t xml:space="preserve">заменить словами "разделов проектной документации или";</w:t>
      </w:r>
    </w:p>
    <w:p>
      <w:pPr>
        <w:spacing w:line="240" w:lineRule="auto"/>
        <w:ind w:firstLine="709"/>
      </w:pPr>
      <w:r>
        <w:t xml:space="preserve">10) в пункте 29 слова "(части разделов)" исключить.</w:t>
      </w:r>
    </w:p>
    <w:p>
      <w:pPr>
        <w:spacing w:line="240" w:lineRule="auto"/>
        <w:ind w:firstLine="709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spacing w:line="276" w:lineRule="auto"/>
        <w:ind w:firstLine="709"/>
      </w:pPr>
    </w:p>
    <w:p>
      <w:pPr>
        <w:ind w:right="-568"/>
        <w:jc w:val="center"/>
      </w:pPr>
      <w:r>
        <w:t xml:space="preserve">____________</w:t>
      </w:r>
    </w:p>
    <w:sectPr>
      <w:footnotePr/>
      <w:endnotePr/>
      <w:type w:val="nextPage"/>
      <w:pgSz w:w="11907" w:h="16840" w:orient="portrait"/>
      <w:pgMar w:top="1418" w:right="1418" w:bottom="1418" w:left="1418" w:header="709" w:footer="70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</w:p>
  </w:endnote>
  <w:endnote w:type="continuationSeparator" w:id="0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</w:p>
  </w:footnote>
  <w:footnote w:type="continuationSeparator" w:id="0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tabs>
        <w:tab w:val="clear" w:pos="4153" w:leader="none"/>
        <w:tab w:val="clear" w:pos="8306" w:leader="none"/>
      </w:tabs>
      <w:jc w:val="center"/>
      <w:rPr>
        <w:sz w:val="24"/>
      </w:rPr>
    </w:pPr>
    <w:r>
      <w:rPr>
        <w:rStyle w:val="864"/>
        <w:sz w:val="24"/>
      </w:rPr>
      <w:fldChar w:fldCharType="begin"/>
    </w:r>
    <w:r>
      <w:rPr>
        <w:rStyle w:val="864"/>
        <w:sz w:val="24"/>
      </w:rPr>
      <w:instrText xml:space="preserve"> PAGE </w:instrText>
    </w:r>
    <w:r>
      <w:rPr>
        <w:rStyle w:val="864"/>
        <w:sz w:val="24"/>
      </w:rPr>
      <w:fldChar w:fldCharType="separate"/>
    </w:r>
    <w:r>
      <w:rPr>
        <w:rStyle w:val="864"/>
        <w:sz w:val="24"/>
      </w:rPr>
      <w:t xml:space="preserve">5</w:t>
    </w:r>
    <w:r>
      <w:rPr>
        <w:rStyle w:val="864"/>
        <w:sz w:val="24"/>
      </w:rPr>
      <w:fldChar w:fldCharType="end"/>
    </w:r>
    <w:r>
      <w:rPr>
        <w:sz w:val="24"/>
      </w:rPr>
    </w:r>
    <w:r>
      <w:rPr>
        <w:sz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ffffff"/>
      </w:rPr>
    </w:lvl>
    <w:lvl w:ilvl="1">
      <w:start w:val="1"/>
      <w:numFmt w:val="decimal"/>
      <w:isLgl/>
      <w:suff w:val="tab"/>
      <w:lvlText w:val="%1.%2."/>
      <w:lvlJc w:val="left"/>
      <w:pPr>
        <w:ind w:left="2051" w:hanging="120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58"/>
    <w:next w:val="858"/>
    <w:link w:val="687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59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58"/>
    <w:next w:val="858"/>
    <w:link w:val="689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59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58"/>
    <w:next w:val="858"/>
    <w:link w:val="691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59"/>
    <w:link w:val="690"/>
    <w:uiPriority w:val="9"/>
    <w:rPr>
      <w:rFonts w:ascii="Arial" w:hAnsi="Arial" w:eastAsia="Arial" w:cs="Arial"/>
      <w:sz w:val="30"/>
      <w:szCs w:val="30"/>
    </w:rPr>
  </w:style>
  <w:style w:type="paragraph" w:styleId="692">
    <w:name w:val="Heading 4"/>
    <w:basedOn w:val="858"/>
    <w:next w:val="858"/>
    <w:link w:val="693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3">
    <w:name w:val="Heading 4 Char"/>
    <w:basedOn w:val="859"/>
    <w:link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858"/>
    <w:next w:val="858"/>
    <w:link w:val="695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5">
    <w:name w:val="Heading 5 Char"/>
    <w:basedOn w:val="85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858"/>
    <w:next w:val="858"/>
    <w:link w:val="697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7">
    <w:name w:val="Heading 6 Char"/>
    <w:basedOn w:val="859"/>
    <w:link w:val="696"/>
    <w:uiPriority w:val="9"/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858"/>
    <w:next w:val="858"/>
    <w:link w:val="699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7 Char"/>
    <w:basedOn w:val="859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858"/>
    <w:next w:val="858"/>
    <w:link w:val="701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1">
    <w:name w:val="Heading 8 Char"/>
    <w:basedOn w:val="859"/>
    <w:link w:val="700"/>
    <w:uiPriority w:val="9"/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858"/>
    <w:next w:val="858"/>
    <w:link w:val="703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>
    <w:name w:val="Heading 9 Char"/>
    <w:basedOn w:val="859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paragraph" w:styleId="705">
    <w:name w:val="Title"/>
    <w:basedOn w:val="858"/>
    <w:next w:val="858"/>
    <w:link w:val="706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706">
    <w:name w:val="Title Char"/>
    <w:basedOn w:val="859"/>
    <w:link w:val="705"/>
    <w:uiPriority w:val="10"/>
    <w:rPr>
      <w:sz w:val="48"/>
      <w:szCs w:val="48"/>
    </w:rPr>
  </w:style>
  <w:style w:type="paragraph" w:styleId="707">
    <w:name w:val="Subtitle"/>
    <w:basedOn w:val="858"/>
    <w:next w:val="858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59"/>
    <w:link w:val="707"/>
    <w:uiPriority w:val="11"/>
    <w:rPr>
      <w:sz w:val="24"/>
      <w:szCs w:val="24"/>
    </w:rPr>
  </w:style>
  <w:style w:type="paragraph" w:styleId="709">
    <w:name w:val="Quote"/>
    <w:basedOn w:val="858"/>
    <w:next w:val="858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58"/>
    <w:next w:val="858"/>
    <w:link w:val="71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59"/>
    <w:link w:val="862"/>
    <w:uiPriority w:val="99"/>
  </w:style>
  <w:style w:type="character" w:styleId="714">
    <w:name w:val="Footer Char"/>
    <w:basedOn w:val="859"/>
    <w:link w:val="879"/>
    <w:uiPriority w:val="99"/>
  </w:style>
  <w:style w:type="paragraph" w:styleId="715">
    <w:name w:val="Caption"/>
    <w:basedOn w:val="858"/>
    <w:next w:val="858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859"/>
    <w:link w:val="715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"/>
    <w:basedOn w:val="86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4">
    <w:name w:val="Grid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2">
    <w:name w:val="Grid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3">
    <w:name w:val="Grid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4">
    <w:name w:val="Grid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5">
    <w:name w:val="Grid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6">
    <w:name w:val="Grid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7">
    <w:name w:val="Grid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8">
    <w:name w:val="Grid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9">
    <w:name w:val="Grid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0">
    <w:name w:val="Grid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1">
    <w:name w:val="Grid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2">
    <w:name w:val="Grid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3">
    <w:name w:val="Grid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4">
    <w:name w:val="Grid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5">
    <w:name w:val="Grid Table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53">
    <w:name w:val="Grid Table 5 Dark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54">
    <w:name w:val="Grid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55">
    <w:name w:val="Grid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56">
    <w:name w:val="Grid Table 5 Dark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57">
    <w:name w:val="Grid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58">
    <w:name w:val="Grid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59">
    <w:name w:val="Grid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67">
    <w:name w:val="Grid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68">
    <w:name w:val="Grid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69">
    <w:name w:val="Grid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0">
    <w:name w:val="Grid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1">
    <w:name w:val="Grid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2">
    <w:name w:val="Grid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73">
    <w:name w:val="List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Footnote Text Char"/>
    <w:link w:val="876"/>
    <w:uiPriority w:val="99"/>
    <w:rPr>
      <w:sz w:val="18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59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spacing w:after="57"/>
      <w:ind w:left="0" w:right="0" w:firstLine="0"/>
    </w:pPr>
  </w:style>
  <w:style w:type="paragraph" w:styleId="848">
    <w:name w:val="toc 2"/>
    <w:basedOn w:val="858"/>
    <w:next w:val="858"/>
    <w:uiPriority w:val="39"/>
    <w:unhideWhenUsed/>
    <w:pPr>
      <w:spacing w:after="57"/>
      <w:ind w:left="283" w:right="0" w:firstLine="0"/>
    </w:pPr>
  </w:style>
  <w:style w:type="paragraph" w:styleId="849">
    <w:name w:val="toc 3"/>
    <w:basedOn w:val="858"/>
    <w:next w:val="858"/>
    <w:uiPriority w:val="39"/>
    <w:unhideWhenUsed/>
    <w:pPr>
      <w:spacing w:after="57"/>
      <w:ind w:left="567" w:right="0" w:firstLine="0"/>
    </w:pPr>
  </w:style>
  <w:style w:type="paragraph" w:styleId="850">
    <w:name w:val="toc 4"/>
    <w:basedOn w:val="858"/>
    <w:next w:val="858"/>
    <w:uiPriority w:val="39"/>
    <w:unhideWhenUsed/>
    <w:pPr>
      <w:spacing w:after="57"/>
      <w:ind w:left="850" w:right="0" w:firstLine="0"/>
    </w:pPr>
  </w:style>
  <w:style w:type="paragraph" w:styleId="851">
    <w:name w:val="toc 5"/>
    <w:basedOn w:val="858"/>
    <w:next w:val="858"/>
    <w:uiPriority w:val="39"/>
    <w:unhideWhenUsed/>
    <w:pPr>
      <w:spacing w:after="57"/>
      <w:ind w:left="1134" w:right="0" w:firstLine="0"/>
    </w:pPr>
  </w:style>
  <w:style w:type="paragraph" w:styleId="852">
    <w:name w:val="toc 6"/>
    <w:basedOn w:val="858"/>
    <w:next w:val="858"/>
    <w:uiPriority w:val="39"/>
    <w:unhideWhenUsed/>
    <w:pPr>
      <w:spacing w:after="57"/>
      <w:ind w:left="1417" w:right="0" w:firstLine="0"/>
    </w:pPr>
  </w:style>
  <w:style w:type="paragraph" w:styleId="853">
    <w:name w:val="toc 7"/>
    <w:basedOn w:val="858"/>
    <w:next w:val="858"/>
    <w:uiPriority w:val="39"/>
    <w:unhideWhenUsed/>
    <w:pPr>
      <w:spacing w:after="57"/>
      <w:ind w:left="1701" w:right="0" w:firstLine="0"/>
    </w:pPr>
  </w:style>
  <w:style w:type="paragraph" w:styleId="854">
    <w:name w:val="toc 8"/>
    <w:basedOn w:val="858"/>
    <w:next w:val="858"/>
    <w:uiPriority w:val="39"/>
    <w:unhideWhenUsed/>
    <w:pPr>
      <w:spacing w:after="57"/>
      <w:ind w:left="1984" w:right="0" w:firstLine="0"/>
    </w:pPr>
  </w:style>
  <w:style w:type="paragraph" w:styleId="855">
    <w:name w:val="toc 9"/>
    <w:basedOn w:val="858"/>
    <w:next w:val="858"/>
    <w:uiPriority w:val="39"/>
    <w:unhideWhenUsed/>
    <w:pPr>
      <w:spacing w:after="57"/>
      <w:ind w:left="2268" w:right="0" w:firstLine="0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  <w:pPr>
      <w:spacing w:after="0" w:line="360" w:lineRule="atLeast"/>
      <w:jc w:val="both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59" w:default="1">
    <w:name w:val="Default Paragraph Font"/>
    <w:uiPriority w:val="1"/>
    <w:semiHidden/>
    <w:unhideWhenUsed/>
  </w:style>
  <w:style w:type="table" w:styleId="8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1" w:default="1">
    <w:name w:val="No List"/>
    <w:uiPriority w:val="99"/>
    <w:semiHidden/>
    <w:unhideWhenUsed/>
  </w:style>
  <w:style w:type="paragraph" w:styleId="862">
    <w:name w:val="Header"/>
    <w:basedOn w:val="858"/>
    <w:link w:val="863"/>
    <w:pPr>
      <w:tabs>
        <w:tab w:val="center" w:pos="4153" w:leader="none"/>
        <w:tab w:val="right" w:pos="8306" w:leader="none"/>
      </w:tabs>
    </w:pPr>
  </w:style>
  <w:style w:type="character" w:styleId="863" w:customStyle="1">
    <w:name w:val="Верхний колонтитул Знак"/>
    <w:basedOn w:val="859"/>
    <w:link w:val="862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64">
    <w:name w:val="page number"/>
    <w:basedOn w:val="859"/>
  </w:style>
  <w:style w:type="character" w:styleId="865" w:customStyle="1">
    <w:name w:val="blk"/>
  </w:style>
  <w:style w:type="character" w:styleId="866" w:customStyle="1">
    <w:name w:val="blk1"/>
    <w:rPr>
      <w:vanish w:val="0"/>
    </w:rPr>
  </w:style>
  <w:style w:type="paragraph" w:styleId="867">
    <w:name w:val="List Paragraph"/>
    <w:basedOn w:val="858"/>
    <w:uiPriority w:val="34"/>
    <w:qFormat/>
    <w:pPr>
      <w:ind w:left="720"/>
      <w:contextualSpacing/>
    </w:pPr>
  </w:style>
  <w:style w:type="paragraph" w:styleId="868" w:customStyle="1">
    <w:name w:val="ConsPlusNormal"/>
    <w:pPr>
      <w:spacing w:after="0" w:line="240" w:lineRule="auto"/>
    </w:pPr>
    <w:rPr>
      <w:rFonts w:ascii="Times New Roman" w:hAnsi="Times New Roman" w:eastAsia="Calibri" w:cs="Times New Roman"/>
      <w:sz w:val="28"/>
      <w:szCs w:val="28"/>
      <w:lang w:eastAsia="ru-RU"/>
    </w:rPr>
  </w:style>
  <w:style w:type="character" w:styleId="869">
    <w:name w:val="annotation reference"/>
    <w:basedOn w:val="859"/>
    <w:uiPriority w:val="99"/>
    <w:semiHidden/>
    <w:unhideWhenUsed/>
    <w:rPr>
      <w:sz w:val="16"/>
      <w:szCs w:val="16"/>
    </w:rPr>
  </w:style>
  <w:style w:type="paragraph" w:styleId="870">
    <w:name w:val="annotation text"/>
    <w:basedOn w:val="858"/>
    <w:link w:val="871"/>
    <w:uiPriority w:val="99"/>
    <w:semiHidden/>
    <w:unhideWhenUsed/>
    <w:pPr>
      <w:spacing w:line="240" w:lineRule="auto"/>
    </w:pPr>
    <w:rPr>
      <w:sz w:val="20"/>
    </w:rPr>
  </w:style>
  <w:style w:type="character" w:styleId="871" w:customStyle="1">
    <w:name w:val="Текст примечания Знак"/>
    <w:basedOn w:val="859"/>
    <w:link w:val="87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2">
    <w:name w:val="annotation subject"/>
    <w:basedOn w:val="870"/>
    <w:next w:val="870"/>
    <w:link w:val="873"/>
    <w:uiPriority w:val="99"/>
    <w:semiHidden/>
    <w:unhideWhenUsed/>
    <w:rPr>
      <w:b/>
      <w:bCs/>
    </w:rPr>
  </w:style>
  <w:style w:type="character" w:styleId="873" w:customStyle="1">
    <w:name w:val="Тема примечания Знак"/>
    <w:basedOn w:val="871"/>
    <w:link w:val="872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874">
    <w:name w:val="Balloon Text"/>
    <w:basedOn w:val="858"/>
    <w:link w:val="875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basedOn w:val="859"/>
    <w:link w:val="87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6">
    <w:name w:val="footnote text"/>
    <w:basedOn w:val="858"/>
    <w:link w:val="877"/>
    <w:uiPriority w:val="99"/>
    <w:unhideWhenUsed/>
    <w:pPr>
      <w:widowControl w:val="off"/>
      <w:spacing w:line="280" w:lineRule="atLeast"/>
      <w:jc w:val="center"/>
    </w:pPr>
    <w:rPr>
      <w:rFonts w:ascii="Arial" w:hAnsi="Arial" w:cs="Arial"/>
      <w:sz w:val="20"/>
    </w:rPr>
  </w:style>
  <w:style w:type="character" w:styleId="877" w:customStyle="1">
    <w:name w:val="Текст сноски Знак"/>
    <w:basedOn w:val="859"/>
    <w:link w:val="876"/>
    <w:uiPriority w:val="99"/>
    <w:rPr>
      <w:rFonts w:ascii="Arial" w:hAnsi="Arial" w:eastAsia="Times New Roman" w:cs="Arial"/>
      <w:sz w:val="20"/>
      <w:szCs w:val="20"/>
      <w:lang w:eastAsia="ru-RU"/>
    </w:rPr>
  </w:style>
  <w:style w:type="character" w:styleId="878">
    <w:name w:val="footnote reference"/>
    <w:uiPriority w:val="99"/>
    <w:unhideWhenUsed/>
    <w:rPr>
      <w:vertAlign w:val="superscript"/>
    </w:rPr>
  </w:style>
  <w:style w:type="paragraph" w:styleId="879">
    <w:name w:val="Footer"/>
    <w:basedOn w:val="858"/>
    <w:link w:val="880"/>
    <w:uiPriority w:val="99"/>
    <w:unhideWhenUsed/>
    <w:pPr>
      <w:tabs>
        <w:tab w:val="center" w:pos="4677" w:leader="none"/>
        <w:tab w:val="right" w:pos="9355" w:leader="none"/>
      </w:tabs>
      <w:spacing w:line="240" w:lineRule="auto"/>
    </w:pPr>
  </w:style>
  <w:style w:type="character" w:styleId="880" w:customStyle="1">
    <w:name w:val="Нижний колонтитул Знак"/>
    <w:basedOn w:val="859"/>
    <w:link w:val="879"/>
    <w:uiPriority w:val="9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81">
    <w:name w:val="Hyperlink"/>
    <w:basedOn w:val="859"/>
    <w:uiPriority w:val="99"/>
    <w:unhideWhenUsed/>
    <w:rPr>
      <w:color w:val="0000ff" w:themeColor="hyperlink"/>
      <w:u w:val="single"/>
    </w:rPr>
  </w:style>
  <w:style w:type="paragraph" w:styleId="882">
    <w:name w:val="Normal (Web)"/>
    <w:basedOn w:val="858"/>
    <w:uiPriority w:val="99"/>
    <w:unhideWhenUsed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883">
    <w:name w:val="Revision"/>
    <w:hidden/>
    <w:uiPriority w:val="99"/>
    <w:semiHidden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B0739-122D-4C13-AF34-4260922E8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Галкина Мария Сергеевна</dc:creator>
  <cp:lastModifiedBy>darya.shershneva</cp:lastModifiedBy>
  <cp:revision>16</cp:revision>
  <dcterms:created xsi:type="dcterms:W3CDTF">2026-06-30T07:04:00Z</dcterms:created>
  <dcterms:modified xsi:type="dcterms:W3CDTF">2026-10-13T15:06:26Z</dcterms:modified>
</cp:coreProperties>
</file>